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kinsoku/>
        <w:wordWrap/>
        <w:overflowPunct/>
        <w:autoSpaceDE/>
        <w:autoSpaceDN/>
        <w:bidi w:val="0"/>
        <w:adjustRightInd w:val="0"/>
        <w:snapToGrid w:val="0"/>
        <w:spacing w:line="540" w:lineRule="exact"/>
        <w:ind w:right="0" w:rightChars="0"/>
        <w:textAlignment w:val="auto"/>
        <w:outlineLvl w:val="0"/>
        <w:rPr>
          <w:rFonts w:ascii="方正小标宋简体" w:hAnsi="方正小标宋简体" w:eastAsia="方正小标宋简体" w:cs="方正小标宋简体"/>
          <w:sz w:val="44"/>
          <w:szCs w:val="44"/>
        </w:rPr>
      </w:pPr>
      <w:r>
        <w:rPr>
          <w:rFonts w:hint="eastAsia" w:ascii="仿宋_GB2312" w:eastAsia="仿宋_GB2312"/>
          <w:sz w:val="32"/>
          <w:szCs w:val="32"/>
        </w:rPr>
        <w:t>附件</w:t>
      </w:r>
      <w:r>
        <w:rPr>
          <w:rFonts w:hint="eastAsia" w:ascii="仿宋_GB2312" w:eastAsia="仿宋_GB2312"/>
          <w:sz w:val="32"/>
          <w:szCs w:val="32"/>
          <w:lang w:val="en-US" w:eastAsia="zh-CN"/>
        </w:rPr>
        <w:t>1</w:t>
      </w:r>
    </w:p>
    <w:p>
      <w:pPr>
        <w:keepNext w:val="0"/>
        <w:keepLines w:val="0"/>
        <w:pageBreakBefore w:val="0"/>
        <w:kinsoku/>
        <w:wordWrap/>
        <w:overflowPunct/>
        <w:autoSpaceDE/>
        <w:autoSpaceDN/>
        <w:bidi w:val="0"/>
        <w:adjustRightInd w:val="0"/>
        <w:snapToGrid w:val="0"/>
        <w:spacing w:line="540" w:lineRule="exact"/>
        <w:ind w:right="0" w:rightChars="0"/>
        <w:jc w:val="center"/>
        <w:textAlignment w:val="auto"/>
        <w:outlineLvl w:val="0"/>
        <w:rPr>
          <w:rFonts w:ascii="宋体" w:hAnsi="宋体"/>
          <w:sz w:val="44"/>
          <w:szCs w:val="44"/>
        </w:rPr>
      </w:pPr>
      <w:r>
        <w:rPr>
          <w:rFonts w:hint="eastAsia" w:ascii="方正小标宋简体" w:hAnsi="方正小标宋简体" w:eastAsia="方正小标宋简体" w:cs="方正小标宋简体"/>
          <w:sz w:val="44"/>
          <w:szCs w:val="44"/>
        </w:rPr>
        <w:t>佛山市创新创业引导基金</w:t>
      </w:r>
      <w:bookmarkStart w:id="0" w:name="_Toc3791"/>
      <w:r>
        <w:rPr>
          <w:rFonts w:hint="eastAsia" w:ascii="方正小标宋简体" w:hAnsi="方正小标宋简体" w:eastAsia="方正小标宋简体" w:cs="方正小标宋简体"/>
          <w:sz w:val="44"/>
          <w:szCs w:val="44"/>
        </w:rPr>
        <w:t>管理办法</w:t>
      </w:r>
      <w:bookmarkEnd w:id="0"/>
    </w:p>
    <w:p>
      <w:pPr>
        <w:keepNext w:val="0"/>
        <w:keepLines w:val="0"/>
        <w:pageBreakBefore w:val="0"/>
        <w:kinsoku/>
        <w:wordWrap/>
        <w:overflowPunct/>
        <w:autoSpaceDE/>
        <w:autoSpaceDN/>
        <w:bidi w:val="0"/>
        <w:adjustRightInd w:val="0"/>
        <w:snapToGrid w:val="0"/>
        <w:spacing w:line="540" w:lineRule="exact"/>
        <w:ind w:right="0" w:rightChars="0"/>
        <w:jc w:val="center"/>
        <w:textAlignment w:val="auto"/>
        <w:rPr>
          <w:rFonts w:ascii="仿宋_GB2312" w:eastAsia="仿宋_GB2312"/>
          <w:sz w:val="32"/>
          <w:szCs w:val="32"/>
        </w:rPr>
      </w:pPr>
      <w:r>
        <w:rPr>
          <w:rFonts w:hint="eastAsia" w:ascii="仿宋_GB2312" w:eastAsia="仿宋_GB2312"/>
          <w:sz w:val="32"/>
          <w:szCs w:val="32"/>
        </w:rPr>
        <w:t>（征求意见稿）</w:t>
      </w:r>
    </w:p>
    <w:p>
      <w:pPr>
        <w:keepNext w:val="0"/>
        <w:keepLines w:val="0"/>
        <w:pageBreakBefore w:val="0"/>
        <w:kinsoku/>
        <w:wordWrap/>
        <w:overflowPunct/>
        <w:autoSpaceDE/>
        <w:autoSpaceDN/>
        <w:bidi w:val="0"/>
        <w:adjustRightInd w:val="0"/>
        <w:snapToGrid w:val="0"/>
        <w:spacing w:line="540" w:lineRule="exact"/>
        <w:ind w:right="0" w:rightChars="0"/>
        <w:jc w:val="center"/>
        <w:textAlignment w:val="auto"/>
        <w:outlineLvl w:val="0"/>
        <w:rPr>
          <w:rFonts w:ascii="黑体" w:hAnsi="宋体" w:eastAsia="黑体"/>
          <w:b/>
          <w:sz w:val="32"/>
          <w:szCs w:val="32"/>
        </w:rPr>
      </w:pPr>
      <w:r>
        <w:rPr>
          <w:rFonts w:hint="eastAsia" w:ascii="黑体" w:hAnsi="宋体" w:eastAsia="黑体"/>
          <w:b/>
          <w:sz w:val="32"/>
          <w:szCs w:val="32"/>
        </w:rPr>
        <w:t>第一章  总  则</w:t>
      </w:r>
    </w:p>
    <w:p>
      <w:pPr>
        <w:keepNext w:val="0"/>
        <w:keepLines w:val="0"/>
        <w:pageBreakBefore w:val="0"/>
        <w:kinsoku/>
        <w:wordWrap/>
        <w:overflowPunct/>
        <w:autoSpaceDE/>
        <w:autoSpaceDN/>
        <w:bidi w:val="0"/>
        <w:adjustRightInd w:val="0"/>
        <w:snapToGrid w:val="0"/>
        <w:spacing w:line="540" w:lineRule="exact"/>
        <w:ind w:right="0" w:rightChars="0"/>
        <w:textAlignment w:val="auto"/>
      </w:pPr>
    </w:p>
    <w:p>
      <w:pPr>
        <w:keepNext w:val="0"/>
        <w:keepLines w:val="0"/>
        <w:pageBreakBefore w:val="0"/>
        <w:kinsoku/>
        <w:wordWrap/>
        <w:overflowPunct/>
        <w:autoSpaceDE/>
        <w:autoSpaceDN/>
        <w:bidi w:val="0"/>
        <w:adjustRightInd w:val="0"/>
        <w:snapToGrid w:val="0"/>
        <w:spacing w:line="540" w:lineRule="exact"/>
        <w:ind w:right="0" w:rightChars="0" w:firstLine="790"/>
        <w:textAlignment w:val="auto"/>
        <w:rPr>
          <w:rFonts w:ascii="仿宋_GB2312" w:eastAsia="仿宋_GB2312"/>
          <w:sz w:val="32"/>
          <w:szCs w:val="32"/>
        </w:rPr>
      </w:pPr>
      <w:r>
        <w:rPr>
          <w:rFonts w:hint="eastAsia"/>
          <w:b/>
          <w:sz w:val="32"/>
          <w:szCs w:val="32"/>
        </w:rPr>
        <w:t xml:space="preserve">第一条  </w:t>
      </w:r>
      <w:r>
        <w:rPr>
          <w:rFonts w:hint="eastAsia" w:ascii="仿宋_GB2312" w:eastAsia="仿宋_GB2312"/>
          <w:sz w:val="32"/>
          <w:szCs w:val="32"/>
        </w:rPr>
        <w:t>为</w:t>
      </w:r>
      <w:r>
        <w:rPr>
          <w:rFonts w:hint="eastAsia" w:ascii="仿宋_GB2312" w:eastAsia="仿宋_GB2312"/>
          <w:sz w:val="32"/>
          <w:szCs w:val="32"/>
          <w:lang w:eastAsia="zh-CN"/>
        </w:rPr>
        <w:t>创新和优化财政资金使用方式，</w:t>
      </w:r>
      <w:r>
        <w:rPr>
          <w:rFonts w:hint="eastAsia" w:ascii="仿宋_GB2312" w:eastAsia="仿宋_GB2312"/>
          <w:sz w:val="32"/>
          <w:szCs w:val="32"/>
        </w:rPr>
        <w:t>充分发挥财政资金的引导和放大效应，促进投资机构和社会资本进入我市</w:t>
      </w:r>
      <w:r>
        <w:rPr>
          <w:rFonts w:hint="eastAsia" w:ascii="仿宋_GB2312" w:eastAsia="仿宋_GB2312"/>
          <w:sz w:val="32"/>
          <w:szCs w:val="32"/>
          <w:lang w:val="en-US" w:eastAsia="zh-CN"/>
        </w:rPr>
        <w:t>创新创业</w:t>
      </w:r>
      <w:r>
        <w:rPr>
          <w:rFonts w:hint="eastAsia" w:ascii="仿宋_GB2312" w:eastAsia="仿宋_GB2312"/>
          <w:sz w:val="32"/>
          <w:szCs w:val="32"/>
        </w:rPr>
        <w:t>领域，激发</w:t>
      </w:r>
      <w:r>
        <w:rPr>
          <w:rFonts w:hint="eastAsia" w:ascii="仿宋_GB2312" w:eastAsia="仿宋_GB2312"/>
          <w:sz w:val="32"/>
          <w:szCs w:val="32"/>
          <w:lang w:eastAsia="zh-CN"/>
        </w:rPr>
        <w:t>全社会</w:t>
      </w:r>
      <w:r>
        <w:rPr>
          <w:rFonts w:hint="eastAsia" w:ascii="仿宋_GB2312" w:eastAsia="仿宋_GB2312"/>
          <w:sz w:val="32"/>
          <w:szCs w:val="32"/>
        </w:rPr>
        <w:t>创新创业</w:t>
      </w:r>
      <w:r>
        <w:rPr>
          <w:rFonts w:hint="eastAsia" w:ascii="仿宋_GB2312" w:eastAsia="仿宋_GB2312"/>
          <w:sz w:val="32"/>
          <w:szCs w:val="32"/>
          <w:lang w:eastAsia="zh-CN"/>
        </w:rPr>
        <w:t>活力</w:t>
      </w:r>
      <w:r>
        <w:rPr>
          <w:rFonts w:hint="eastAsia" w:ascii="仿宋_GB2312" w:eastAsia="仿宋_GB2312"/>
          <w:sz w:val="32"/>
          <w:szCs w:val="32"/>
        </w:rPr>
        <w:t>，</w:t>
      </w:r>
      <w:r>
        <w:rPr>
          <w:rFonts w:hint="eastAsia" w:ascii="仿宋_GB2312" w:eastAsia="仿宋_GB2312"/>
          <w:sz w:val="32"/>
          <w:szCs w:val="32"/>
          <w:lang w:eastAsia="zh-CN"/>
        </w:rPr>
        <w:t>加速推动科技、金融和产业深度融合</w:t>
      </w:r>
      <w:r>
        <w:rPr>
          <w:rFonts w:hint="eastAsia" w:ascii="仿宋_GB2312" w:eastAsia="仿宋_GB2312"/>
          <w:sz w:val="32"/>
          <w:szCs w:val="32"/>
        </w:rPr>
        <w:t>，</w:t>
      </w:r>
      <w:r>
        <w:rPr>
          <w:rFonts w:hint="eastAsia" w:ascii="仿宋_GB2312" w:eastAsia="仿宋_GB2312"/>
          <w:sz w:val="32"/>
          <w:szCs w:val="32"/>
          <w:lang w:eastAsia="zh-CN"/>
        </w:rPr>
        <w:t>助推</w:t>
      </w:r>
      <w:r>
        <w:rPr>
          <w:rFonts w:hint="eastAsia" w:ascii="仿宋_GB2312" w:eastAsia="仿宋_GB2312"/>
          <w:sz w:val="32"/>
          <w:szCs w:val="32"/>
        </w:rPr>
        <w:t>佛山市</w:t>
      </w:r>
      <w:r>
        <w:rPr>
          <w:rFonts w:hint="eastAsia" w:ascii="仿宋_GB2312" w:eastAsia="仿宋_GB2312"/>
          <w:sz w:val="32"/>
          <w:szCs w:val="32"/>
          <w:lang w:eastAsia="zh-CN"/>
        </w:rPr>
        <w:t>传统优势</w:t>
      </w:r>
      <w:r>
        <w:rPr>
          <w:rFonts w:hint="eastAsia" w:ascii="仿宋_GB2312" w:eastAsia="仿宋_GB2312"/>
          <w:sz w:val="32"/>
          <w:szCs w:val="32"/>
        </w:rPr>
        <w:t>产业转型升级</w:t>
      </w:r>
      <w:r>
        <w:rPr>
          <w:rFonts w:hint="eastAsia" w:ascii="仿宋_GB2312" w:eastAsia="仿宋_GB2312"/>
          <w:sz w:val="32"/>
          <w:szCs w:val="32"/>
          <w:lang w:eastAsia="zh-CN"/>
        </w:rPr>
        <w:t>和战略性新兴产业培育</w:t>
      </w:r>
      <w:r>
        <w:rPr>
          <w:rFonts w:hint="eastAsia" w:ascii="仿宋_GB2312" w:eastAsia="仿宋_GB2312"/>
          <w:sz w:val="32"/>
          <w:szCs w:val="32"/>
        </w:rPr>
        <w:t>，根据《佛山市人民政府办公室关于印发佛山市本级政府投资基金管理实施办法的通知》（佛府办函〔201</w:t>
      </w:r>
      <w:r>
        <w:rPr>
          <w:rFonts w:ascii="仿宋_GB2312" w:eastAsia="仿宋_GB2312"/>
          <w:sz w:val="32"/>
          <w:szCs w:val="32"/>
        </w:rPr>
        <w:t>8</w:t>
      </w:r>
      <w:r>
        <w:rPr>
          <w:rFonts w:hint="eastAsia" w:ascii="仿宋_GB2312" w:eastAsia="仿宋_GB2312"/>
          <w:sz w:val="32"/>
          <w:szCs w:val="32"/>
        </w:rPr>
        <w:t>〕</w:t>
      </w:r>
      <w:r>
        <w:rPr>
          <w:rFonts w:ascii="仿宋_GB2312" w:eastAsia="仿宋_GB2312"/>
          <w:sz w:val="32"/>
          <w:szCs w:val="32"/>
        </w:rPr>
        <w:t>996</w:t>
      </w:r>
      <w:r>
        <w:rPr>
          <w:rFonts w:hint="eastAsia" w:ascii="仿宋_GB2312" w:eastAsia="仿宋_GB2312"/>
          <w:sz w:val="32"/>
          <w:szCs w:val="32"/>
        </w:rPr>
        <w:t>号）、《佛山市人民政府办公室关于市级财政出资政策性基金清理规范的实施意见》（佛府办函〔201</w:t>
      </w:r>
      <w:r>
        <w:rPr>
          <w:rFonts w:ascii="仿宋_GB2312" w:eastAsia="仿宋_GB2312"/>
          <w:sz w:val="32"/>
          <w:szCs w:val="32"/>
        </w:rPr>
        <w:t>8</w:t>
      </w:r>
      <w:r>
        <w:rPr>
          <w:rFonts w:hint="eastAsia" w:ascii="仿宋_GB2312" w:eastAsia="仿宋_GB2312"/>
          <w:sz w:val="32"/>
          <w:szCs w:val="32"/>
        </w:rPr>
        <w:t>〕</w:t>
      </w:r>
      <w:r>
        <w:rPr>
          <w:rFonts w:ascii="仿宋_GB2312" w:eastAsia="仿宋_GB2312"/>
          <w:sz w:val="32"/>
          <w:szCs w:val="32"/>
        </w:rPr>
        <w:t>1003</w:t>
      </w:r>
      <w:r>
        <w:rPr>
          <w:rFonts w:hint="eastAsia" w:ascii="仿宋_GB2312" w:eastAsia="仿宋_GB2312"/>
          <w:sz w:val="32"/>
          <w:szCs w:val="32"/>
        </w:rPr>
        <w:t>号）</w:t>
      </w:r>
      <w:r>
        <w:rPr>
          <w:rFonts w:hint="eastAsia" w:ascii="仿宋_GB2312" w:eastAsia="仿宋_GB2312"/>
          <w:sz w:val="32"/>
          <w:szCs w:val="32"/>
          <w:lang w:eastAsia="zh-CN"/>
        </w:rPr>
        <w:t>等有关</w:t>
      </w:r>
      <w:r>
        <w:rPr>
          <w:rFonts w:hint="eastAsia" w:ascii="仿宋_GB2312" w:eastAsia="仿宋_GB2312"/>
          <w:sz w:val="32"/>
          <w:szCs w:val="32"/>
        </w:rPr>
        <w:t>精神和要求，佛山市创新创业产业引导基金更名为“佛山市创新创业引导基金”（以下简称“引导基金”）</w:t>
      </w:r>
      <w:r>
        <w:rPr>
          <w:rFonts w:hint="eastAsia" w:ascii="仿宋_GB2312" w:eastAsia="仿宋_GB2312"/>
          <w:sz w:val="32"/>
          <w:szCs w:val="32"/>
          <w:lang w:eastAsia="zh-CN"/>
        </w:rPr>
        <w:t>。在原</w:t>
      </w:r>
      <w:r>
        <w:rPr>
          <w:rFonts w:hint="eastAsia" w:ascii="仿宋_GB2312" w:eastAsia="仿宋_GB2312"/>
          <w:sz w:val="32"/>
          <w:szCs w:val="32"/>
        </w:rPr>
        <w:t>《佛山市创新创业产业引导基金管理暂行办法》</w:t>
      </w:r>
      <w:r>
        <w:rPr>
          <w:rFonts w:hint="eastAsia" w:ascii="仿宋_GB2312" w:eastAsia="仿宋_GB2312"/>
          <w:sz w:val="32"/>
          <w:szCs w:val="32"/>
          <w:lang w:eastAsia="zh-CN"/>
        </w:rPr>
        <w:t>（</w:t>
      </w:r>
      <w:r>
        <w:rPr>
          <w:rFonts w:hint="eastAsia" w:ascii="仿宋_GB2312" w:eastAsia="仿宋_GB2312"/>
          <w:sz w:val="32"/>
          <w:szCs w:val="32"/>
        </w:rPr>
        <w:t>佛国资改〔2016〕23号</w:t>
      </w:r>
      <w:r>
        <w:rPr>
          <w:rFonts w:hint="eastAsia" w:ascii="仿宋_GB2312" w:eastAsia="仿宋_GB2312"/>
          <w:sz w:val="32"/>
          <w:szCs w:val="32"/>
          <w:lang w:eastAsia="zh-CN"/>
        </w:rPr>
        <w:t>）的</w:t>
      </w:r>
      <w:r>
        <w:rPr>
          <w:rFonts w:hint="eastAsia" w:ascii="仿宋_GB2312" w:eastAsia="仿宋_GB2312"/>
          <w:sz w:val="32"/>
          <w:szCs w:val="32"/>
        </w:rPr>
        <w:t>基础</w:t>
      </w:r>
      <w:r>
        <w:rPr>
          <w:rFonts w:hint="eastAsia" w:ascii="仿宋_GB2312" w:eastAsia="仿宋_GB2312"/>
          <w:sz w:val="32"/>
          <w:szCs w:val="32"/>
          <w:lang w:eastAsia="zh-CN"/>
        </w:rPr>
        <w:t>上，结合我市创新创业和产业发展实际，特</w:t>
      </w:r>
      <w:r>
        <w:rPr>
          <w:rFonts w:hint="eastAsia" w:ascii="仿宋_GB2312" w:eastAsia="仿宋_GB2312"/>
          <w:sz w:val="32"/>
          <w:szCs w:val="32"/>
        </w:rPr>
        <w:t>制定本</w:t>
      </w:r>
      <w:r>
        <w:rPr>
          <w:rFonts w:hint="eastAsia" w:ascii="仿宋_GB2312" w:eastAsia="仿宋_GB2312"/>
          <w:sz w:val="32"/>
          <w:szCs w:val="32"/>
          <w:lang w:eastAsia="zh-CN"/>
        </w:rPr>
        <w:t>管理</w:t>
      </w:r>
      <w:r>
        <w:rPr>
          <w:rFonts w:hint="eastAsia" w:ascii="仿宋_GB2312" w:eastAsia="仿宋_GB2312"/>
          <w:sz w:val="32"/>
          <w:szCs w:val="32"/>
        </w:rPr>
        <w:t>办法。</w:t>
      </w:r>
    </w:p>
    <w:p>
      <w:pPr>
        <w:keepNext w:val="0"/>
        <w:keepLines w:val="0"/>
        <w:pageBreakBefore w:val="0"/>
        <w:kinsoku/>
        <w:wordWrap/>
        <w:overflowPunct/>
        <w:autoSpaceDE/>
        <w:autoSpaceDN/>
        <w:bidi w:val="0"/>
        <w:adjustRightInd w:val="0"/>
        <w:snapToGrid w:val="0"/>
        <w:spacing w:line="540" w:lineRule="exact"/>
        <w:ind w:right="0" w:rightChars="0" w:firstLine="560" w:firstLineChars="200"/>
        <w:textAlignment w:val="auto"/>
        <w:rPr>
          <w:rFonts w:ascii="楷体" w:hAnsi="楷体" w:eastAsia="楷体" w:cs="楷体"/>
          <w:sz w:val="28"/>
          <w:szCs w:val="28"/>
        </w:rPr>
      </w:pPr>
      <w:r>
        <w:rPr>
          <w:rFonts w:hint="eastAsia" w:ascii="楷体" w:hAnsi="楷体" w:eastAsia="楷体" w:cs="楷体"/>
          <w:sz w:val="28"/>
          <w:szCs w:val="28"/>
        </w:rPr>
        <w:t>【编制说明】本办法制定的目的和依据。</w:t>
      </w:r>
    </w:p>
    <w:p>
      <w:pPr>
        <w:keepNext w:val="0"/>
        <w:keepLines w:val="0"/>
        <w:pageBreakBefore w:val="0"/>
        <w:kinsoku/>
        <w:wordWrap/>
        <w:overflowPunct/>
        <w:autoSpaceDE/>
        <w:autoSpaceDN/>
        <w:bidi w:val="0"/>
        <w:adjustRightInd w:val="0"/>
        <w:snapToGrid w:val="0"/>
        <w:spacing w:line="540" w:lineRule="exact"/>
        <w:ind w:right="0" w:rightChars="0" w:firstLine="630" w:firstLineChars="196"/>
        <w:textAlignment w:val="auto"/>
        <w:rPr>
          <w:rFonts w:ascii="仿宋_GB2312" w:hAnsi="仿宋_GB2312" w:eastAsia="仿宋_GB2312" w:cs="仿宋_GB2312"/>
          <w:sz w:val="32"/>
          <w:szCs w:val="36"/>
        </w:rPr>
      </w:pPr>
      <w:r>
        <w:rPr>
          <w:rFonts w:hint="eastAsia"/>
          <w:b/>
          <w:sz w:val="32"/>
          <w:szCs w:val="32"/>
        </w:rPr>
        <w:t xml:space="preserve">第二条 </w:t>
      </w:r>
      <w:r>
        <w:rPr>
          <w:rFonts w:hint="eastAsia"/>
        </w:rPr>
        <w:t xml:space="preserve"> </w:t>
      </w:r>
      <w:r>
        <w:rPr>
          <w:rFonts w:hint="eastAsia" w:ascii="仿宋_GB2312" w:eastAsia="仿宋_GB2312"/>
          <w:sz w:val="32"/>
          <w:szCs w:val="32"/>
        </w:rPr>
        <w:t>本办法所称引导基金是指由市政府出资设立，采取“母-子基金”投资方式运作，</w:t>
      </w:r>
      <w:r>
        <w:rPr>
          <w:rFonts w:hint="eastAsia" w:ascii="仿宋_GB2312" w:hAnsi="仿宋_GB2312" w:eastAsia="仿宋_GB2312" w:cs="仿宋_GB2312"/>
          <w:sz w:val="32"/>
          <w:szCs w:val="36"/>
        </w:rPr>
        <w:t>并用部分资金进行跟投的引导基金，跟投总资金额占引导基金规模比重不超过15%。子基金分为合作子基金和直投子基金，其中合作子基金分为市场化合作子基金和政策性合作子基金。</w:t>
      </w:r>
    </w:p>
    <w:p>
      <w:pPr>
        <w:keepNext w:val="0"/>
        <w:keepLines w:val="0"/>
        <w:pageBreakBefore w:val="0"/>
        <w:kinsoku/>
        <w:wordWrap/>
        <w:overflowPunct/>
        <w:autoSpaceDE/>
        <w:autoSpaceDN/>
        <w:bidi w:val="0"/>
        <w:adjustRightInd w:val="0"/>
        <w:snapToGrid w:val="0"/>
        <w:spacing w:line="540" w:lineRule="exact"/>
        <w:ind w:right="0" w:rightChars="0" w:firstLine="560" w:firstLineChars="200"/>
        <w:textAlignment w:val="auto"/>
        <w:rPr>
          <w:rFonts w:ascii="仿宋_GB2312" w:hAnsi="仿宋_GB2312" w:eastAsia="仿宋_GB2312" w:cs="仿宋_GB2312"/>
          <w:sz w:val="32"/>
          <w:szCs w:val="36"/>
        </w:rPr>
      </w:pPr>
      <w:r>
        <w:rPr>
          <w:rFonts w:hint="eastAsia" w:ascii="楷体" w:hAnsi="楷体" w:eastAsia="楷体" w:cs="楷体"/>
          <w:sz w:val="28"/>
          <w:szCs w:val="28"/>
        </w:rPr>
        <w:t>【编制说明】本办法定义，政府投资基金资金来源和投资方式。</w:t>
      </w:r>
    </w:p>
    <w:p>
      <w:pPr>
        <w:keepNext w:val="0"/>
        <w:keepLines w:val="0"/>
        <w:pageBreakBefore w:val="0"/>
        <w:kinsoku/>
        <w:wordWrap/>
        <w:overflowPunct/>
        <w:autoSpaceDE/>
        <w:autoSpaceDN/>
        <w:bidi w:val="0"/>
        <w:adjustRightInd w:val="0"/>
        <w:snapToGrid w:val="0"/>
        <w:spacing w:line="540" w:lineRule="exact"/>
        <w:ind w:right="0" w:rightChars="0" w:firstLine="630" w:firstLineChars="196"/>
        <w:textAlignment w:val="auto"/>
        <w:rPr>
          <w:rFonts w:ascii="仿宋_GB2312" w:eastAsia="仿宋_GB2312"/>
          <w:sz w:val="32"/>
          <w:szCs w:val="32"/>
        </w:rPr>
      </w:pPr>
      <w:r>
        <w:rPr>
          <w:rFonts w:hint="eastAsia"/>
          <w:b/>
          <w:sz w:val="32"/>
          <w:szCs w:val="32"/>
        </w:rPr>
        <w:t>第三条</w:t>
      </w:r>
      <w:r>
        <w:rPr>
          <w:rFonts w:hint="eastAsia"/>
        </w:rPr>
        <w:t xml:space="preserve">  </w:t>
      </w:r>
      <w:r>
        <w:rPr>
          <w:rFonts w:hint="eastAsia" w:ascii="仿宋_GB2312" w:eastAsia="仿宋_GB2312"/>
          <w:sz w:val="32"/>
          <w:szCs w:val="32"/>
          <w:lang w:bidi="ar"/>
        </w:rPr>
        <w:t>引导基金按照“政府引导、市场运作、科学决策、防范风险”的原则进行运作。引导基金母基金采取公司制运作，引导基金子基金可采取公司制或合伙企业制方式运作。</w:t>
      </w:r>
    </w:p>
    <w:p>
      <w:pPr>
        <w:keepNext w:val="0"/>
        <w:keepLines w:val="0"/>
        <w:pageBreakBefore w:val="0"/>
        <w:kinsoku/>
        <w:wordWrap/>
        <w:overflowPunct/>
        <w:autoSpaceDE/>
        <w:autoSpaceDN/>
        <w:bidi w:val="0"/>
        <w:adjustRightInd w:val="0"/>
        <w:snapToGrid w:val="0"/>
        <w:spacing w:line="540" w:lineRule="exact"/>
        <w:ind w:right="0" w:rightChars="0" w:firstLine="560" w:firstLineChars="200"/>
        <w:jc w:val="left"/>
        <w:textAlignment w:val="auto"/>
        <w:rPr>
          <w:rFonts w:ascii="宋体" w:hAnsi="宋体"/>
          <w:b/>
          <w:sz w:val="32"/>
          <w:szCs w:val="32"/>
        </w:rPr>
      </w:pPr>
      <w:r>
        <w:rPr>
          <w:rFonts w:hint="eastAsia" w:ascii="楷体" w:hAnsi="楷体" w:eastAsia="楷体" w:cs="楷体"/>
          <w:sz w:val="28"/>
          <w:szCs w:val="28"/>
        </w:rPr>
        <w:t>【编制说明】本办法制定原则。</w:t>
      </w:r>
    </w:p>
    <w:p>
      <w:pPr>
        <w:keepNext w:val="0"/>
        <w:keepLines w:val="0"/>
        <w:pageBreakBefore w:val="0"/>
        <w:kinsoku/>
        <w:wordWrap/>
        <w:overflowPunct/>
        <w:autoSpaceDE/>
        <w:autoSpaceDN/>
        <w:bidi w:val="0"/>
        <w:adjustRightInd w:val="0"/>
        <w:snapToGrid w:val="0"/>
        <w:spacing w:line="540" w:lineRule="exact"/>
        <w:ind w:right="0" w:rightChars="0"/>
        <w:jc w:val="center"/>
        <w:textAlignment w:val="auto"/>
        <w:outlineLvl w:val="0"/>
        <w:rPr>
          <w:rFonts w:ascii="黑体" w:hAnsi="宋体" w:eastAsia="黑体"/>
          <w:b/>
          <w:sz w:val="32"/>
          <w:szCs w:val="32"/>
        </w:rPr>
      </w:pPr>
      <w:r>
        <w:rPr>
          <w:rFonts w:hint="eastAsia" w:ascii="黑体" w:hAnsi="宋体" w:eastAsia="黑体"/>
          <w:b/>
          <w:sz w:val="32"/>
          <w:szCs w:val="32"/>
        </w:rPr>
        <w:t>第二章  引导基金管理体系与职责</w:t>
      </w:r>
    </w:p>
    <w:p>
      <w:pPr>
        <w:keepNext w:val="0"/>
        <w:keepLines w:val="0"/>
        <w:pageBreakBefore w:val="0"/>
        <w:kinsoku/>
        <w:wordWrap/>
        <w:overflowPunct/>
        <w:autoSpaceDE/>
        <w:autoSpaceDN/>
        <w:bidi w:val="0"/>
        <w:adjustRightInd w:val="0"/>
        <w:snapToGrid w:val="0"/>
        <w:spacing w:line="540" w:lineRule="exact"/>
        <w:ind w:right="0" w:rightChars="0" w:firstLine="630" w:firstLineChars="196"/>
        <w:textAlignment w:val="auto"/>
        <w:rPr>
          <w:rFonts w:ascii="仿宋_GB2312" w:eastAsia="仿宋_GB2312"/>
          <w:bCs/>
          <w:sz w:val="32"/>
          <w:szCs w:val="32"/>
        </w:rPr>
      </w:pPr>
      <w:r>
        <w:rPr>
          <w:rFonts w:hint="eastAsia"/>
          <w:b/>
          <w:sz w:val="32"/>
          <w:szCs w:val="32"/>
        </w:rPr>
        <w:t>第四条</w:t>
      </w:r>
      <w:r>
        <w:rPr>
          <w:rFonts w:hint="eastAsia" w:ascii="仿宋_GB2312" w:eastAsia="仿宋_GB2312"/>
          <w:bCs/>
          <w:sz w:val="32"/>
          <w:szCs w:val="32"/>
        </w:rPr>
        <w:t xml:space="preserve">  引导基金的业务主管部门为佛山市科学技术局（以下简称“市科技局”）。</w:t>
      </w:r>
    </w:p>
    <w:p>
      <w:pPr>
        <w:keepNext w:val="0"/>
        <w:keepLines w:val="0"/>
        <w:pageBreakBefore w:val="0"/>
        <w:kinsoku/>
        <w:wordWrap/>
        <w:overflowPunct/>
        <w:autoSpaceDE/>
        <w:autoSpaceDN/>
        <w:bidi w:val="0"/>
        <w:adjustRightInd w:val="0"/>
        <w:snapToGrid w:val="0"/>
        <w:spacing w:line="540" w:lineRule="exact"/>
        <w:ind w:right="0" w:rightChars="0" w:firstLine="548" w:firstLineChars="196"/>
        <w:textAlignment w:val="auto"/>
        <w:rPr>
          <w:rFonts w:ascii="仿宋_GB2312" w:eastAsia="仿宋_GB2312"/>
          <w:bCs/>
          <w:sz w:val="32"/>
          <w:szCs w:val="32"/>
        </w:rPr>
      </w:pPr>
      <w:r>
        <w:rPr>
          <w:rFonts w:hint="eastAsia" w:ascii="楷体" w:hAnsi="楷体" w:eastAsia="楷体" w:cs="楷体"/>
          <w:sz w:val="28"/>
          <w:szCs w:val="28"/>
        </w:rPr>
        <w:t>【编制说明】本办法涉及的政府投资基金管理机构之业务主管部门。根据《佛山市人民政府办公室关于市级财政出资政策性基金清理规范的实施意见》（佛府办函〔2018〕1003号）要求，引导基金业务主管部门由市国资委调整为市科技局。</w:t>
      </w:r>
    </w:p>
    <w:p>
      <w:pPr>
        <w:keepNext w:val="0"/>
        <w:keepLines w:val="0"/>
        <w:pageBreakBefore w:val="0"/>
        <w:kinsoku/>
        <w:wordWrap/>
        <w:overflowPunct/>
        <w:autoSpaceDE/>
        <w:autoSpaceDN/>
        <w:bidi w:val="0"/>
        <w:adjustRightInd w:val="0"/>
        <w:snapToGrid w:val="0"/>
        <w:spacing w:line="540" w:lineRule="exact"/>
        <w:ind w:right="0" w:rightChars="0" w:firstLine="630" w:firstLineChars="196"/>
        <w:textAlignment w:val="auto"/>
        <w:rPr>
          <w:rFonts w:ascii="仿宋_GB2312" w:eastAsia="仿宋_GB2312"/>
          <w:bCs/>
          <w:sz w:val="32"/>
          <w:szCs w:val="32"/>
        </w:rPr>
      </w:pPr>
      <w:r>
        <w:rPr>
          <w:rFonts w:hint="eastAsia" w:ascii="宋体" w:hAnsi="宋体"/>
          <w:b/>
          <w:sz w:val="32"/>
          <w:szCs w:val="32"/>
        </w:rPr>
        <w:t>第五条</w:t>
      </w:r>
      <w:r>
        <w:rPr>
          <w:rFonts w:hint="eastAsia" w:ascii="仿宋_GB2312" w:eastAsia="仿宋_GB2312"/>
          <w:bCs/>
          <w:sz w:val="32"/>
          <w:szCs w:val="32"/>
        </w:rPr>
        <w:t xml:space="preserve"> </w:t>
      </w:r>
      <w:r>
        <w:rPr>
          <w:rFonts w:ascii="仿宋_GB2312" w:eastAsia="仿宋_GB2312"/>
          <w:bCs/>
          <w:sz w:val="32"/>
          <w:szCs w:val="32"/>
        </w:rPr>
        <w:t xml:space="preserve"> </w:t>
      </w:r>
      <w:r>
        <w:rPr>
          <w:rFonts w:hint="eastAsia" w:ascii="仿宋_GB2312" w:eastAsia="仿宋_GB2312"/>
          <w:bCs/>
          <w:sz w:val="32"/>
          <w:szCs w:val="32"/>
        </w:rPr>
        <w:t>引导基金业务主管部门主要职责包括：</w:t>
      </w:r>
    </w:p>
    <w:p>
      <w:pPr>
        <w:keepNext w:val="0"/>
        <w:keepLines w:val="0"/>
        <w:pageBreakBefore w:val="0"/>
        <w:kinsoku/>
        <w:wordWrap/>
        <w:overflowPunct/>
        <w:autoSpaceDE/>
        <w:autoSpaceDN/>
        <w:bidi w:val="0"/>
        <w:adjustRightInd w:val="0"/>
        <w:snapToGrid w:val="0"/>
        <w:spacing w:line="540" w:lineRule="exact"/>
        <w:ind w:right="0" w:rightChars="0" w:firstLine="627"/>
        <w:textAlignment w:val="auto"/>
        <w:rPr>
          <w:rFonts w:ascii="仿宋_GB2312" w:eastAsia="仿宋_GB2312"/>
          <w:bCs/>
          <w:sz w:val="32"/>
          <w:szCs w:val="32"/>
        </w:rPr>
      </w:pPr>
      <w:r>
        <w:rPr>
          <w:rFonts w:hint="eastAsia" w:ascii="仿宋_GB2312" w:eastAsia="仿宋_GB2312"/>
          <w:bCs/>
          <w:sz w:val="32"/>
          <w:szCs w:val="32"/>
        </w:rPr>
        <w:t>（一）作为引导基金的业务指导部门，根据国家和省政策规定，结合经济社会发展需要和行业规划，提出设立、调整引导基金方案和引导基金管理方案的建议，并报佛山市政府投资基金管理委员会办公室（以下简称“市基金办”）审查；</w:t>
      </w:r>
    </w:p>
    <w:p>
      <w:pPr>
        <w:keepNext w:val="0"/>
        <w:keepLines w:val="0"/>
        <w:pageBreakBefore w:val="0"/>
        <w:kinsoku/>
        <w:wordWrap/>
        <w:overflowPunct/>
        <w:autoSpaceDE/>
        <w:autoSpaceDN/>
        <w:bidi w:val="0"/>
        <w:spacing w:line="540" w:lineRule="exact"/>
        <w:ind w:right="0" w:rightChars="0" w:firstLine="640" w:firstLineChars="200"/>
        <w:textAlignment w:val="auto"/>
        <w:rPr>
          <w:rFonts w:ascii="仿宋_GB2312" w:eastAsia="仿宋_GB2312"/>
          <w:bCs/>
          <w:sz w:val="32"/>
          <w:szCs w:val="32"/>
        </w:rPr>
      </w:pPr>
      <w:r>
        <w:rPr>
          <w:rFonts w:hint="eastAsia" w:ascii="仿宋_GB2312" w:eastAsia="仿宋_GB2312"/>
          <w:bCs/>
          <w:sz w:val="32"/>
          <w:szCs w:val="32"/>
        </w:rPr>
        <w:t>（二）定期（每年至少1次）评估引导基金运作是否达到设立时的政策目标，并提出基金投资增减方案，报市基金办审查；</w:t>
      </w:r>
    </w:p>
    <w:p>
      <w:pPr>
        <w:keepNext w:val="0"/>
        <w:keepLines w:val="0"/>
        <w:pageBreakBefore w:val="0"/>
        <w:kinsoku/>
        <w:wordWrap/>
        <w:overflowPunct/>
        <w:autoSpaceDE/>
        <w:autoSpaceDN/>
        <w:bidi w:val="0"/>
        <w:spacing w:line="540" w:lineRule="exact"/>
        <w:ind w:right="0" w:rightChars="0" w:firstLine="640" w:firstLineChars="200"/>
        <w:textAlignment w:val="auto"/>
        <w:rPr>
          <w:rFonts w:ascii="仿宋_GB2312" w:eastAsia="仿宋_GB2312"/>
          <w:bCs/>
          <w:sz w:val="32"/>
          <w:szCs w:val="32"/>
        </w:rPr>
      </w:pPr>
      <w:r>
        <w:rPr>
          <w:rFonts w:hint="eastAsia" w:ascii="仿宋_GB2312" w:eastAsia="仿宋_GB2312"/>
          <w:bCs/>
          <w:sz w:val="32"/>
          <w:szCs w:val="32"/>
        </w:rPr>
        <w:t>（三）协调有关部门，支持并指导引导基金的设立及实施工作；</w:t>
      </w:r>
    </w:p>
    <w:p>
      <w:pPr>
        <w:keepNext w:val="0"/>
        <w:keepLines w:val="0"/>
        <w:pageBreakBefore w:val="0"/>
        <w:kinsoku/>
        <w:wordWrap/>
        <w:overflowPunct/>
        <w:autoSpaceDE/>
        <w:autoSpaceDN/>
        <w:bidi w:val="0"/>
        <w:spacing w:line="540" w:lineRule="exact"/>
        <w:ind w:right="0" w:rightChars="0" w:firstLine="640" w:firstLineChars="200"/>
        <w:textAlignment w:val="auto"/>
        <w:rPr>
          <w:rFonts w:ascii="仿宋_GB2312" w:eastAsia="仿宋_GB2312"/>
          <w:bCs/>
          <w:sz w:val="32"/>
          <w:szCs w:val="32"/>
        </w:rPr>
      </w:pPr>
      <w:r>
        <w:rPr>
          <w:rFonts w:hint="eastAsia" w:ascii="仿宋_GB2312" w:eastAsia="仿宋_GB2312"/>
          <w:bCs/>
          <w:sz w:val="32"/>
          <w:szCs w:val="32"/>
        </w:rPr>
        <w:t>（四）研究确定引导基金的扶持方向，制定支持产业目录或清单；</w:t>
      </w:r>
    </w:p>
    <w:p>
      <w:pPr>
        <w:keepNext w:val="0"/>
        <w:keepLines w:val="0"/>
        <w:pageBreakBefore w:val="0"/>
        <w:kinsoku/>
        <w:wordWrap/>
        <w:overflowPunct/>
        <w:autoSpaceDE/>
        <w:autoSpaceDN/>
        <w:bidi w:val="0"/>
        <w:adjustRightInd w:val="0"/>
        <w:snapToGrid w:val="0"/>
        <w:spacing w:line="540" w:lineRule="exact"/>
        <w:ind w:right="0" w:rightChars="0" w:firstLine="627"/>
        <w:textAlignment w:val="auto"/>
        <w:rPr>
          <w:rFonts w:ascii="仿宋_GB2312" w:eastAsia="仿宋_GB2312"/>
          <w:bCs/>
          <w:sz w:val="32"/>
          <w:szCs w:val="32"/>
        </w:rPr>
      </w:pPr>
      <w:r>
        <w:rPr>
          <w:rFonts w:hint="eastAsia" w:ascii="仿宋_GB2312" w:eastAsia="仿宋_GB2312"/>
          <w:bCs/>
          <w:sz w:val="32"/>
          <w:szCs w:val="32"/>
        </w:rPr>
        <w:t>（五）监督指导基金运行，做好引导基金政策目标的监督考核和绩效评价工作。</w:t>
      </w:r>
    </w:p>
    <w:p>
      <w:pPr>
        <w:keepNext w:val="0"/>
        <w:keepLines w:val="0"/>
        <w:pageBreakBefore w:val="0"/>
        <w:kinsoku/>
        <w:wordWrap/>
        <w:overflowPunct/>
        <w:autoSpaceDE/>
        <w:autoSpaceDN/>
        <w:bidi w:val="0"/>
        <w:adjustRightInd w:val="0"/>
        <w:snapToGrid w:val="0"/>
        <w:spacing w:line="540" w:lineRule="exact"/>
        <w:ind w:right="0" w:rightChars="0" w:firstLine="627"/>
        <w:textAlignment w:val="auto"/>
        <w:rPr>
          <w:rFonts w:ascii="仿宋_GB2312" w:eastAsia="仿宋_GB2312"/>
          <w:bCs/>
          <w:sz w:val="32"/>
          <w:szCs w:val="32"/>
        </w:rPr>
      </w:pPr>
      <w:r>
        <w:rPr>
          <w:rFonts w:hint="eastAsia" w:ascii="楷体" w:hAnsi="楷体" w:eastAsia="楷体" w:cs="楷体"/>
          <w:sz w:val="28"/>
          <w:szCs w:val="28"/>
        </w:rPr>
        <w:t>【编制说明】本办法涉及的政府投资基金管理机构之业务主管部门的职责，参考《佛山市人民政府办公室关于印发佛山市本级政府投资基金管理实施办法的通知》（佛府办函〔2018〕996号）。</w:t>
      </w:r>
    </w:p>
    <w:p>
      <w:pPr>
        <w:keepNext w:val="0"/>
        <w:keepLines w:val="0"/>
        <w:pageBreakBefore w:val="0"/>
        <w:kinsoku/>
        <w:wordWrap/>
        <w:overflowPunct/>
        <w:autoSpaceDE/>
        <w:autoSpaceDN/>
        <w:bidi w:val="0"/>
        <w:spacing w:line="540" w:lineRule="exact"/>
        <w:ind w:right="0" w:rightChars="0" w:firstLine="643" w:firstLineChars="200"/>
        <w:textAlignment w:val="auto"/>
        <w:rPr>
          <w:rFonts w:ascii="仿宋_GB2312" w:eastAsia="仿宋_GB2312"/>
          <w:bCs/>
          <w:sz w:val="32"/>
          <w:szCs w:val="32"/>
        </w:rPr>
      </w:pPr>
      <w:r>
        <w:rPr>
          <w:rFonts w:hint="eastAsia"/>
          <w:b/>
          <w:sz w:val="32"/>
          <w:szCs w:val="32"/>
        </w:rPr>
        <w:t>第六条</w:t>
      </w:r>
      <w:r>
        <w:rPr>
          <w:rFonts w:hint="eastAsia" w:ascii="仿宋_GB2312" w:eastAsia="仿宋_GB2312"/>
          <w:bCs/>
          <w:sz w:val="32"/>
          <w:szCs w:val="32"/>
        </w:rPr>
        <w:t xml:space="preserve">  引导基金受托管理机构</w:t>
      </w:r>
      <w:r>
        <w:rPr>
          <w:rFonts w:hint="eastAsia" w:ascii="仿宋_GB2312" w:eastAsia="仿宋_GB2312"/>
          <w:bCs/>
          <w:sz w:val="32"/>
          <w:szCs w:val="32"/>
          <w:lang w:eastAsia="zh-CN"/>
        </w:rPr>
        <w:t>为</w:t>
      </w:r>
      <w:r>
        <w:rPr>
          <w:rFonts w:hint="eastAsia" w:ascii="仿宋_GB2312" w:eastAsia="仿宋_GB2312"/>
          <w:bCs/>
          <w:sz w:val="32"/>
          <w:szCs w:val="32"/>
        </w:rPr>
        <w:t>佛山市金融投资控股有限公司，在市基金办授权范围内代为行使出资人职责。引导基金受托管理机构在代为行使出资人职责期间对引导基金享有的所有权、收益权、处置权均归属于市级财政。</w:t>
      </w:r>
    </w:p>
    <w:p>
      <w:pPr>
        <w:keepNext w:val="0"/>
        <w:keepLines w:val="0"/>
        <w:pageBreakBefore w:val="0"/>
        <w:kinsoku/>
        <w:wordWrap/>
        <w:overflowPunct/>
        <w:autoSpaceDE/>
        <w:autoSpaceDN/>
        <w:bidi w:val="0"/>
        <w:spacing w:line="540" w:lineRule="exact"/>
        <w:ind w:right="0" w:rightChars="0" w:firstLine="560" w:firstLineChars="200"/>
        <w:textAlignment w:val="auto"/>
        <w:rPr>
          <w:rFonts w:ascii="仿宋_GB2312" w:eastAsia="仿宋_GB2312"/>
          <w:bCs/>
          <w:sz w:val="32"/>
          <w:szCs w:val="32"/>
        </w:rPr>
      </w:pPr>
      <w:r>
        <w:rPr>
          <w:rFonts w:hint="eastAsia" w:ascii="楷体" w:hAnsi="楷体" w:eastAsia="楷体" w:cs="楷体"/>
          <w:sz w:val="28"/>
          <w:szCs w:val="28"/>
        </w:rPr>
        <w:t>【编制说明】本办法涉及的政府投资基金管理机构之受托管理机构，在本办法制定前引导基金的政府授权出资人为佛山市金融投资控股有限公司，本办法按照《佛山市人民政府办公室关于市级财政出资政策性基金清理规范的实施意见》（佛府办函〔2018〕1003号）关于引导基金架构不变的精神要求承继之。</w:t>
      </w:r>
    </w:p>
    <w:p>
      <w:pPr>
        <w:keepNext w:val="0"/>
        <w:keepLines w:val="0"/>
        <w:pageBreakBefore w:val="0"/>
        <w:kinsoku/>
        <w:wordWrap/>
        <w:overflowPunct/>
        <w:autoSpaceDE/>
        <w:autoSpaceDN/>
        <w:bidi w:val="0"/>
        <w:spacing w:line="540" w:lineRule="exact"/>
        <w:ind w:right="0" w:rightChars="0" w:firstLine="643" w:firstLineChars="200"/>
        <w:textAlignment w:val="auto"/>
        <w:rPr>
          <w:rFonts w:ascii="仿宋_GB2312" w:eastAsia="仿宋_GB2312"/>
          <w:bCs/>
          <w:sz w:val="32"/>
          <w:szCs w:val="32"/>
        </w:rPr>
      </w:pPr>
      <w:r>
        <w:rPr>
          <w:rFonts w:hint="eastAsia" w:ascii="宋体" w:hAnsi="宋体"/>
          <w:b/>
          <w:sz w:val="32"/>
          <w:szCs w:val="32"/>
        </w:rPr>
        <w:t>第七条</w:t>
      </w:r>
      <w:r>
        <w:rPr>
          <w:rFonts w:hint="eastAsia" w:ascii="仿宋_GB2312" w:eastAsia="仿宋_GB2312"/>
          <w:bCs/>
          <w:sz w:val="32"/>
          <w:szCs w:val="32"/>
        </w:rPr>
        <w:t xml:space="preserve"> </w:t>
      </w:r>
      <w:r>
        <w:rPr>
          <w:rFonts w:ascii="仿宋_GB2312" w:eastAsia="仿宋_GB2312"/>
          <w:bCs/>
          <w:sz w:val="32"/>
          <w:szCs w:val="32"/>
        </w:rPr>
        <w:t xml:space="preserve"> </w:t>
      </w:r>
      <w:r>
        <w:rPr>
          <w:rFonts w:hint="eastAsia" w:ascii="仿宋_GB2312" w:eastAsia="仿宋_GB2312"/>
          <w:bCs/>
          <w:sz w:val="32"/>
          <w:szCs w:val="32"/>
        </w:rPr>
        <w:t>受托管理机构的主要职责包括：</w:t>
      </w:r>
    </w:p>
    <w:p>
      <w:pPr>
        <w:keepNext w:val="0"/>
        <w:keepLines w:val="0"/>
        <w:pageBreakBefore w:val="0"/>
        <w:kinsoku/>
        <w:wordWrap/>
        <w:overflowPunct/>
        <w:autoSpaceDE/>
        <w:autoSpaceDN/>
        <w:bidi w:val="0"/>
        <w:adjustRightInd w:val="0"/>
        <w:snapToGrid w:val="0"/>
        <w:spacing w:line="540" w:lineRule="exact"/>
        <w:ind w:right="0" w:rightChars="0" w:firstLine="627"/>
        <w:textAlignment w:val="auto"/>
        <w:rPr>
          <w:rFonts w:ascii="仿宋_GB2312" w:eastAsia="仿宋_GB2312"/>
          <w:bCs/>
          <w:sz w:val="32"/>
          <w:szCs w:val="32"/>
        </w:rPr>
      </w:pPr>
      <w:r>
        <w:rPr>
          <w:rFonts w:hint="eastAsia" w:ascii="仿宋_GB2312" w:eastAsia="仿宋_GB2312"/>
          <w:bCs/>
          <w:sz w:val="32"/>
          <w:szCs w:val="32"/>
        </w:rPr>
        <w:t>（一）在受托权限内负责引导基金的具体组建、制定基金章程、合作协议等；</w:t>
      </w:r>
    </w:p>
    <w:p>
      <w:pPr>
        <w:keepNext w:val="0"/>
        <w:keepLines w:val="0"/>
        <w:pageBreakBefore w:val="0"/>
        <w:kinsoku/>
        <w:wordWrap/>
        <w:overflowPunct/>
        <w:autoSpaceDE/>
        <w:autoSpaceDN/>
        <w:bidi w:val="0"/>
        <w:spacing w:line="540" w:lineRule="exact"/>
        <w:ind w:right="0" w:rightChars="0" w:firstLine="640" w:firstLineChars="200"/>
        <w:textAlignment w:val="auto"/>
        <w:rPr>
          <w:rFonts w:ascii="仿宋_GB2312" w:eastAsia="仿宋_GB2312"/>
          <w:bCs/>
          <w:sz w:val="32"/>
          <w:szCs w:val="32"/>
        </w:rPr>
      </w:pPr>
      <w:r>
        <w:rPr>
          <w:rFonts w:hint="eastAsia" w:ascii="仿宋_GB2312" w:eastAsia="仿宋_GB2312"/>
          <w:bCs/>
          <w:sz w:val="32"/>
          <w:szCs w:val="32"/>
        </w:rPr>
        <w:t>（二）根据市基金办的授权，代为出资设立引导基金，并具体办理基金的设立、变更、撤销、清算等事宜；</w:t>
      </w:r>
    </w:p>
    <w:p>
      <w:pPr>
        <w:keepNext w:val="0"/>
        <w:keepLines w:val="0"/>
        <w:pageBreakBefore w:val="0"/>
        <w:kinsoku/>
        <w:wordWrap/>
        <w:overflowPunct/>
        <w:autoSpaceDE/>
        <w:autoSpaceDN/>
        <w:bidi w:val="0"/>
        <w:spacing w:line="540" w:lineRule="exact"/>
        <w:ind w:right="0" w:rightChars="0" w:firstLine="640" w:firstLineChars="200"/>
        <w:textAlignment w:val="auto"/>
        <w:rPr>
          <w:rFonts w:ascii="仿宋_GB2312" w:eastAsia="仿宋_GB2312"/>
          <w:bCs/>
          <w:sz w:val="32"/>
          <w:szCs w:val="32"/>
        </w:rPr>
      </w:pPr>
      <w:r>
        <w:rPr>
          <w:rFonts w:hint="eastAsia" w:ascii="仿宋_GB2312" w:eastAsia="仿宋_GB2312"/>
          <w:bCs/>
          <w:sz w:val="32"/>
          <w:szCs w:val="32"/>
        </w:rPr>
        <w:t>（三）综合考虑领域相关、业务专长、经营业绩等因素，组建或委托市场化、专业化的基金管理公司管理母基金，并签订委托协议，对基金的运营进行监督，对考核不称职的基金管理公司提出更换建议；</w:t>
      </w:r>
    </w:p>
    <w:p>
      <w:pPr>
        <w:keepNext w:val="0"/>
        <w:keepLines w:val="0"/>
        <w:pageBreakBefore w:val="0"/>
        <w:kinsoku/>
        <w:wordWrap/>
        <w:overflowPunct/>
        <w:autoSpaceDE/>
        <w:autoSpaceDN/>
        <w:bidi w:val="0"/>
        <w:spacing w:line="540" w:lineRule="exact"/>
        <w:ind w:right="0" w:rightChars="0" w:firstLine="640" w:firstLineChars="200"/>
        <w:textAlignment w:val="auto"/>
        <w:rPr>
          <w:rFonts w:ascii="仿宋_GB2312" w:eastAsia="仿宋_GB2312"/>
          <w:bCs/>
          <w:sz w:val="32"/>
          <w:szCs w:val="32"/>
        </w:rPr>
      </w:pPr>
      <w:r>
        <w:rPr>
          <w:rFonts w:hint="eastAsia" w:ascii="仿宋_GB2312" w:eastAsia="仿宋_GB2312"/>
          <w:bCs/>
          <w:sz w:val="32"/>
          <w:szCs w:val="32"/>
        </w:rPr>
        <w:t>（四）与引导基金母基金托管银行签订托管协议，并对托管资金的使用进行监督，对考核不称职的托管银行提出更换建议；</w:t>
      </w:r>
    </w:p>
    <w:p>
      <w:pPr>
        <w:keepNext w:val="0"/>
        <w:keepLines w:val="0"/>
        <w:pageBreakBefore w:val="0"/>
        <w:kinsoku/>
        <w:wordWrap/>
        <w:overflowPunct/>
        <w:autoSpaceDE/>
        <w:autoSpaceDN/>
        <w:bidi w:val="0"/>
        <w:spacing w:line="540" w:lineRule="exact"/>
        <w:ind w:right="0" w:rightChars="0" w:firstLine="640" w:firstLineChars="200"/>
        <w:textAlignment w:val="auto"/>
        <w:rPr>
          <w:rFonts w:ascii="仿宋_GB2312" w:eastAsia="仿宋_GB2312"/>
          <w:bCs/>
          <w:sz w:val="32"/>
          <w:szCs w:val="32"/>
        </w:rPr>
      </w:pPr>
      <w:r>
        <w:rPr>
          <w:rFonts w:hint="eastAsia" w:ascii="仿宋_GB2312" w:eastAsia="仿宋_GB2312"/>
          <w:bCs/>
          <w:sz w:val="32"/>
          <w:szCs w:val="32"/>
        </w:rPr>
        <w:t>（五）根据引导基金的运作情况，向业务主管部门提出引导基金增加或减少投资的建议；</w:t>
      </w:r>
    </w:p>
    <w:p>
      <w:pPr>
        <w:keepNext w:val="0"/>
        <w:keepLines w:val="0"/>
        <w:pageBreakBefore w:val="0"/>
        <w:kinsoku/>
        <w:wordWrap/>
        <w:overflowPunct/>
        <w:autoSpaceDE/>
        <w:autoSpaceDN/>
        <w:bidi w:val="0"/>
        <w:spacing w:line="540" w:lineRule="exact"/>
        <w:ind w:right="0" w:rightChars="0" w:firstLine="640" w:firstLineChars="200"/>
        <w:textAlignment w:val="auto"/>
        <w:rPr>
          <w:rFonts w:ascii="仿宋_GB2312" w:eastAsia="仿宋_GB2312"/>
          <w:bCs/>
          <w:sz w:val="32"/>
          <w:szCs w:val="32"/>
        </w:rPr>
      </w:pPr>
      <w:r>
        <w:rPr>
          <w:rFonts w:hint="eastAsia" w:ascii="仿宋_GB2312" w:eastAsia="仿宋_GB2312"/>
          <w:bCs/>
          <w:sz w:val="32"/>
          <w:szCs w:val="32"/>
        </w:rPr>
        <w:t>（六）定期向市基金办报告引导基金投资运作情况、资金安排计划或其他重大事项；</w:t>
      </w:r>
    </w:p>
    <w:p>
      <w:pPr>
        <w:keepNext w:val="0"/>
        <w:keepLines w:val="0"/>
        <w:pageBreakBefore w:val="0"/>
        <w:kinsoku/>
        <w:wordWrap/>
        <w:overflowPunct/>
        <w:autoSpaceDE/>
        <w:autoSpaceDN/>
        <w:bidi w:val="0"/>
        <w:spacing w:line="540" w:lineRule="exact"/>
        <w:ind w:right="0" w:rightChars="0" w:firstLine="640" w:firstLineChars="200"/>
        <w:textAlignment w:val="auto"/>
        <w:rPr>
          <w:rFonts w:ascii="仿宋_GB2312" w:eastAsia="仿宋_GB2312"/>
          <w:bCs/>
          <w:sz w:val="32"/>
          <w:szCs w:val="32"/>
        </w:rPr>
      </w:pPr>
      <w:r>
        <w:rPr>
          <w:rFonts w:hint="eastAsia" w:ascii="仿宋_GB2312" w:eastAsia="仿宋_GB2312"/>
          <w:bCs/>
          <w:sz w:val="32"/>
          <w:szCs w:val="32"/>
        </w:rPr>
        <w:t>（七）及时将分红、退出等资金（含本金及收益）上缴市财政部门；</w:t>
      </w:r>
    </w:p>
    <w:p>
      <w:pPr>
        <w:keepNext w:val="0"/>
        <w:keepLines w:val="0"/>
        <w:pageBreakBefore w:val="0"/>
        <w:kinsoku/>
        <w:wordWrap/>
        <w:overflowPunct/>
        <w:autoSpaceDE/>
        <w:autoSpaceDN/>
        <w:bidi w:val="0"/>
        <w:spacing w:line="540" w:lineRule="exact"/>
        <w:ind w:right="0" w:rightChars="0" w:firstLine="640" w:firstLineChars="200"/>
        <w:textAlignment w:val="auto"/>
        <w:rPr>
          <w:rFonts w:ascii="仿宋_GB2312" w:eastAsia="仿宋_GB2312"/>
          <w:bCs/>
          <w:sz w:val="32"/>
          <w:szCs w:val="32"/>
        </w:rPr>
      </w:pPr>
      <w:r>
        <w:rPr>
          <w:rFonts w:hint="eastAsia" w:ascii="仿宋_GB2312" w:eastAsia="仿宋_GB2312"/>
          <w:bCs/>
          <w:sz w:val="32"/>
          <w:szCs w:val="32"/>
        </w:rPr>
        <w:t>（八）就引导基金撤销、合并、清算等提出建议，并报市基金办审查。</w:t>
      </w:r>
    </w:p>
    <w:p>
      <w:pPr>
        <w:keepNext w:val="0"/>
        <w:keepLines w:val="0"/>
        <w:pageBreakBefore w:val="0"/>
        <w:kinsoku/>
        <w:wordWrap/>
        <w:overflowPunct/>
        <w:autoSpaceDE/>
        <w:autoSpaceDN/>
        <w:bidi w:val="0"/>
        <w:spacing w:line="540" w:lineRule="exact"/>
        <w:ind w:right="0" w:rightChars="0" w:firstLine="560" w:firstLineChars="200"/>
        <w:textAlignment w:val="auto"/>
        <w:rPr>
          <w:rFonts w:ascii="仿宋_GB2312" w:eastAsia="仿宋_GB2312"/>
          <w:bCs/>
          <w:sz w:val="32"/>
          <w:szCs w:val="32"/>
        </w:rPr>
      </w:pPr>
      <w:r>
        <w:rPr>
          <w:rFonts w:hint="eastAsia" w:ascii="楷体" w:hAnsi="楷体" w:eastAsia="楷体" w:cs="楷体"/>
          <w:sz w:val="28"/>
          <w:szCs w:val="28"/>
        </w:rPr>
        <w:t>【编制说明】本办法涉及的政府投资基金管理机构之受托管理机构的职责，参考《佛山市人民政府办公室关于印发佛山市本级政府投资基金管理实施办法的通知》（佛府办函〔2018〕996号）。</w:t>
      </w:r>
    </w:p>
    <w:p>
      <w:pPr>
        <w:keepNext w:val="0"/>
        <w:keepLines w:val="0"/>
        <w:pageBreakBefore w:val="0"/>
        <w:kinsoku/>
        <w:wordWrap/>
        <w:overflowPunct/>
        <w:autoSpaceDE/>
        <w:autoSpaceDN/>
        <w:bidi w:val="0"/>
        <w:spacing w:line="540" w:lineRule="exact"/>
        <w:ind w:right="0" w:rightChars="0" w:firstLine="643" w:firstLineChars="200"/>
        <w:textAlignment w:val="auto"/>
        <w:rPr>
          <w:rFonts w:ascii="仿宋_GB2312" w:eastAsia="仿宋_GB2312"/>
          <w:bCs/>
          <w:sz w:val="32"/>
          <w:szCs w:val="32"/>
        </w:rPr>
      </w:pPr>
      <w:r>
        <w:rPr>
          <w:rFonts w:hint="eastAsia" w:ascii="宋体" w:hAnsi="宋体"/>
          <w:b/>
          <w:sz w:val="32"/>
          <w:szCs w:val="32"/>
        </w:rPr>
        <w:t>第八条</w:t>
      </w:r>
      <w:r>
        <w:rPr>
          <w:rFonts w:hint="eastAsia" w:ascii="仿宋_GB2312" w:eastAsia="仿宋_GB2312"/>
          <w:bCs/>
          <w:sz w:val="32"/>
          <w:szCs w:val="32"/>
        </w:rPr>
        <w:t xml:space="preserve"> </w:t>
      </w:r>
      <w:r>
        <w:rPr>
          <w:rFonts w:ascii="仿宋_GB2312" w:eastAsia="仿宋_GB2312"/>
          <w:bCs/>
          <w:sz w:val="32"/>
          <w:szCs w:val="32"/>
        </w:rPr>
        <w:t xml:space="preserve"> </w:t>
      </w:r>
      <w:r>
        <w:rPr>
          <w:rFonts w:hint="eastAsia" w:ascii="仿宋_GB2312" w:eastAsia="仿宋_GB2312"/>
          <w:bCs/>
          <w:sz w:val="32"/>
          <w:szCs w:val="32"/>
        </w:rPr>
        <w:t>引导基金管理公司受受托管理机构委托，为引导基金母基金的基金管理人，负责引导基金的日常经营管理，按照委托协议的约定对引导基金母基金进行具体投资、运营及管理。</w:t>
      </w:r>
    </w:p>
    <w:p>
      <w:pPr>
        <w:keepNext w:val="0"/>
        <w:keepLines w:val="0"/>
        <w:pageBreakBefore w:val="0"/>
        <w:kinsoku/>
        <w:wordWrap/>
        <w:overflowPunct/>
        <w:autoSpaceDE/>
        <w:autoSpaceDN/>
        <w:bidi w:val="0"/>
        <w:spacing w:line="540" w:lineRule="exact"/>
        <w:ind w:right="0" w:rightChars="0" w:firstLine="560" w:firstLineChars="200"/>
        <w:textAlignment w:val="auto"/>
        <w:rPr>
          <w:rFonts w:ascii="仿宋_GB2312" w:eastAsia="仿宋_GB2312"/>
          <w:bCs/>
          <w:sz w:val="32"/>
          <w:szCs w:val="32"/>
        </w:rPr>
      </w:pPr>
      <w:r>
        <w:rPr>
          <w:rFonts w:hint="eastAsia" w:ascii="楷体" w:hAnsi="楷体" w:eastAsia="楷体" w:cs="楷体"/>
          <w:sz w:val="28"/>
          <w:szCs w:val="28"/>
        </w:rPr>
        <w:t>【编制说明】本办法涉及的政府投资基金管理机构之基金管理公司。</w:t>
      </w:r>
    </w:p>
    <w:p>
      <w:pPr>
        <w:keepNext w:val="0"/>
        <w:keepLines w:val="0"/>
        <w:pageBreakBefore w:val="0"/>
        <w:kinsoku/>
        <w:wordWrap/>
        <w:overflowPunct/>
        <w:autoSpaceDE/>
        <w:autoSpaceDN/>
        <w:bidi w:val="0"/>
        <w:spacing w:line="540" w:lineRule="exact"/>
        <w:ind w:right="0" w:rightChars="0" w:firstLine="643" w:firstLineChars="200"/>
        <w:textAlignment w:val="auto"/>
        <w:rPr>
          <w:rFonts w:ascii="仿宋_GB2312" w:eastAsia="仿宋_GB2312"/>
          <w:bCs/>
          <w:sz w:val="32"/>
          <w:szCs w:val="32"/>
        </w:rPr>
      </w:pPr>
      <w:r>
        <w:rPr>
          <w:rFonts w:hint="eastAsia" w:ascii="宋体" w:hAnsi="宋体"/>
          <w:b/>
          <w:sz w:val="32"/>
          <w:szCs w:val="32"/>
        </w:rPr>
        <w:t>第九条</w:t>
      </w:r>
      <w:r>
        <w:rPr>
          <w:rFonts w:hint="eastAsia" w:ascii="仿宋_GB2312" w:eastAsia="仿宋_GB2312"/>
          <w:bCs/>
          <w:sz w:val="32"/>
          <w:szCs w:val="32"/>
        </w:rPr>
        <w:t xml:space="preserve"> </w:t>
      </w:r>
      <w:r>
        <w:rPr>
          <w:rFonts w:ascii="仿宋_GB2312" w:eastAsia="仿宋_GB2312"/>
          <w:bCs/>
          <w:sz w:val="32"/>
          <w:szCs w:val="32"/>
        </w:rPr>
        <w:t xml:space="preserve"> </w:t>
      </w:r>
      <w:r>
        <w:rPr>
          <w:rFonts w:hint="eastAsia" w:ascii="仿宋_GB2312" w:eastAsia="仿宋_GB2312"/>
          <w:bCs/>
          <w:sz w:val="32"/>
          <w:szCs w:val="32"/>
        </w:rPr>
        <w:t>引导基金管理公司具体主要职责包括：</w:t>
      </w:r>
    </w:p>
    <w:p>
      <w:pPr>
        <w:keepNext w:val="0"/>
        <w:keepLines w:val="0"/>
        <w:pageBreakBefore w:val="0"/>
        <w:kinsoku/>
        <w:wordWrap/>
        <w:overflowPunct/>
        <w:autoSpaceDE/>
        <w:autoSpaceDN/>
        <w:bidi w:val="0"/>
        <w:adjustRightInd w:val="0"/>
        <w:snapToGrid w:val="0"/>
        <w:spacing w:line="540" w:lineRule="exact"/>
        <w:ind w:right="0" w:rightChars="0" w:firstLine="627"/>
        <w:textAlignment w:val="auto"/>
        <w:rPr>
          <w:rFonts w:ascii="仿宋_GB2312" w:eastAsia="仿宋_GB2312"/>
          <w:bCs/>
          <w:sz w:val="32"/>
          <w:szCs w:val="32"/>
        </w:rPr>
      </w:pPr>
      <w:r>
        <w:rPr>
          <w:rFonts w:hint="eastAsia" w:ascii="仿宋_GB2312" w:eastAsia="仿宋_GB2312"/>
          <w:bCs/>
          <w:sz w:val="32"/>
          <w:szCs w:val="32"/>
        </w:rPr>
        <w:t>（一）按照本办法或业务主管部门确定的基金支持方向，搜集、筛选合适的子基金或项目；</w:t>
      </w:r>
    </w:p>
    <w:p>
      <w:pPr>
        <w:keepNext w:val="0"/>
        <w:keepLines w:val="0"/>
        <w:pageBreakBefore w:val="0"/>
        <w:kinsoku/>
        <w:wordWrap/>
        <w:overflowPunct/>
        <w:autoSpaceDE/>
        <w:autoSpaceDN/>
        <w:bidi w:val="0"/>
        <w:spacing w:line="540" w:lineRule="exact"/>
        <w:ind w:right="0" w:rightChars="0" w:firstLine="640" w:firstLineChars="200"/>
        <w:textAlignment w:val="auto"/>
        <w:rPr>
          <w:rFonts w:ascii="仿宋_GB2312" w:eastAsia="仿宋_GB2312"/>
          <w:bCs/>
          <w:sz w:val="32"/>
          <w:szCs w:val="32"/>
        </w:rPr>
      </w:pPr>
      <w:r>
        <w:rPr>
          <w:rFonts w:hint="eastAsia" w:ascii="仿宋_GB2312" w:eastAsia="仿宋_GB2312"/>
          <w:bCs/>
          <w:sz w:val="32"/>
          <w:szCs w:val="32"/>
        </w:rPr>
        <w:t>（二）对筛选的拟投资的子基金或直接投资项目进行尽职调查，并与有关社会出资人进行合作谈判；</w:t>
      </w:r>
    </w:p>
    <w:p>
      <w:pPr>
        <w:keepNext w:val="0"/>
        <w:keepLines w:val="0"/>
        <w:pageBreakBefore w:val="0"/>
        <w:kinsoku/>
        <w:wordWrap/>
        <w:overflowPunct/>
        <w:autoSpaceDE/>
        <w:autoSpaceDN/>
        <w:bidi w:val="0"/>
        <w:spacing w:line="540" w:lineRule="exact"/>
        <w:ind w:right="0" w:rightChars="0" w:firstLine="640" w:firstLineChars="200"/>
        <w:textAlignment w:val="auto"/>
        <w:rPr>
          <w:rFonts w:ascii="仿宋_GB2312" w:eastAsia="仿宋_GB2312"/>
          <w:bCs/>
          <w:sz w:val="32"/>
          <w:szCs w:val="32"/>
        </w:rPr>
      </w:pPr>
      <w:r>
        <w:rPr>
          <w:rFonts w:hint="eastAsia" w:ascii="仿宋_GB2312" w:eastAsia="仿宋_GB2312"/>
          <w:bCs/>
          <w:sz w:val="32"/>
          <w:szCs w:val="32"/>
        </w:rPr>
        <w:t>（三）对拟投资的子基金或直接投资项目进行评审，并报引导基金投资决策委员会决策；</w:t>
      </w:r>
    </w:p>
    <w:p>
      <w:pPr>
        <w:keepNext w:val="0"/>
        <w:keepLines w:val="0"/>
        <w:pageBreakBefore w:val="0"/>
        <w:kinsoku/>
        <w:wordWrap/>
        <w:overflowPunct/>
        <w:autoSpaceDE/>
        <w:autoSpaceDN/>
        <w:bidi w:val="0"/>
        <w:spacing w:line="540" w:lineRule="exact"/>
        <w:ind w:right="0" w:rightChars="0" w:firstLine="640" w:firstLineChars="200"/>
        <w:textAlignment w:val="auto"/>
        <w:rPr>
          <w:rFonts w:ascii="仿宋_GB2312" w:eastAsia="仿宋_GB2312"/>
          <w:bCs/>
          <w:sz w:val="32"/>
          <w:szCs w:val="32"/>
        </w:rPr>
      </w:pPr>
      <w:r>
        <w:rPr>
          <w:rFonts w:hint="eastAsia" w:ascii="仿宋_GB2312" w:eastAsia="仿宋_GB2312"/>
          <w:bCs/>
          <w:sz w:val="32"/>
          <w:szCs w:val="32"/>
        </w:rPr>
        <w:t>（四）以母基金的名义签订投资子基金或项目的有关章程、合伙协议、合同等法律文件；</w:t>
      </w:r>
    </w:p>
    <w:p>
      <w:pPr>
        <w:keepNext w:val="0"/>
        <w:keepLines w:val="0"/>
        <w:pageBreakBefore w:val="0"/>
        <w:kinsoku/>
        <w:wordWrap/>
        <w:overflowPunct/>
        <w:autoSpaceDE/>
        <w:autoSpaceDN/>
        <w:bidi w:val="0"/>
        <w:spacing w:line="540" w:lineRule="exact"/>
        <w:ind w:right="0" w:rightChars="0" w:firstLine="640" w:firstLineChars="200"/>
        <w:textAlignment w:val="auto"/>
        <w:rPr>
          <w:rFonts w:ascii="仿宋_GB2312" w:eastAsia="仿宋_GB2312"/>
          <w:sz w:val="32"/>
          <w:szCs w:val="32"/>
        </w:rPr>
      </w:pPr>
      <w:r>
        <w:rPr>
          <w:rFonts w:hint="eastAsia" w:ascii="仿宋_GB2312" w:eastAsia="仿宋_GB2312"/>
          <w:bCs/>
          <w:sz w:val="32"/>
          <w:szCs w:val="32"/>
        </w:rPr>
        <w:t>（五）管理母基金投资子基金或项目所形成的的股权，行使相关股东或合伙人权利；</w:t>
      </w:r>
    </w:p>
    <w:p>
      <w:pPr>
        <w:keepNext w:val="0"/>
        <w:keepLines w:val="0"/>
        <w:pageBreakBefore w:val="0"/>
        <w:kinsoku/>
        <w:wordWrap/>
        <w:overflowPunct/>
        <w:autoSpaceDE/>
        <w:autoSpaceDN/>
        <w:bidi w:val="0"/>
        <w:spacing w:line="540" w:lineRule="exact"/>
        <w:ind w:right="0" w:rightChars="0" w:firstLine="640" w:firstLineChars="200"/>
        <w:textAlignment w:val="auto"/>
        <w:rPr>
          <w:rFonts w:ascii="仿宋_GB2312" w:eastAsia="仿宋_GB2312"/>
          <w:bCs/>
          <w:sz w:val="32"/>
          <w:szCs w:val="32"/>
        </w:rPr>
      </w:pPr>
      <w:r>
        <w:rPr>
          <w:rFonts w:hint="eastAsia" w:ascii="仿宋_GB2312" w:eastAsia="仿宋_GB2312"/>
          <w:sz w:val="32"/>
          <w:szCs w:val="32"/>
        </w:rPr>
        <w:t>（六）监督子基金按照其所签订的相关协议及本办法规定的引导基金政策目标要求进行投资运作，对违反规定的投资运作拥有一票否决权；</w:t>
      </w:r>
    </w:p>
    <w:p>
      <w:pPr>
        <w:keepNext w:val="0"/>
        <w:keepLines w:val="0"/>
        <w:pageBreakBefore w:val="0"/>
        <w:kinsoku/>
        <w:wordWrap/>
        <w:overflowPunct/>
        <w:autoSpaceDE/>
        <w:autoSpaceDN/>
        <w:bidi w:val="0"/>
        <w:spacing w:line="540" w:lineRule="exact"/>
        <w:ind w:right="0" w:rightChars="0" w:firstLine="640" w:firstLineChars="200"/>
        <w:textAlignment w:val="auto"/>
        <w:rPr>
          <w:rFonts w:ascii="仿宋_GB2312" w:eastAsia="仿宋_GB2312"/>
          <w:bCs/>
          <w:sz w:val="32"/>
          <w:szCs w:val="32"/>
        </w:rPr>
      </w:pPr>
      <w:r>
        <w:rPr>
          <w:rFonts w:hint="eastAsia" w:ascii="仿宋_GB2312" w:eastAsia="仿宋_GB2312"/>
          <w:bCs/>
          <w:sz w:val="32"/>
          <w:szCs w:val="32"/>
        </w:rPr>
        <w:t>（七）根据投资需求和资金支出情况，在必要时向受托管理机构提出增加投资的建议；</w:t>
      </w:r>
    </w:p>
    <w:p>
      <w:pPr>
        <w:keepNext w:val="0"/>
        <w:keepLines w:val="0"/>
        <w:pageBreakBefore w:val="0"/>
        <w:kinsoku/>
        <w:wordWrap/>
        <w:overflowPunct/>
        <w:autoSpaceDE/>
        <w:autoSpaceDN/>
        <w:bidi w:val="0"/>
        <w:spacing w:line="540" w:lineRule="exact"/>
        <w:ind w:right="0" w:rightChars="0" w:firstLine="640" w:firstLineChars="200"/>
        <w:textAlignment w:val="auto"/>
        <w:rPr>
          <w:rFonts w:ascii="仿宋_GB2312" w:eastAsia="仿宋_GB2312"/>
          <w:bCs/>
          <w:sz w:val="32"/>
          <w:szCs w:val="32"/>
        </w:rPr>
      </w:pPr>
      <w:r>
        <w:rPr>
          <w:rFonts w:hint="eastAsia" w:ascii="仿宋_GB2312" w:eastAsia="仿宋_GB2312"/>
          <w:bCs/>
          <w:sz w:val="32"/>
          <w:szCs w:val="32"/>
        </w:rPr>
        <w:t>（八）负责从所投资的子基金或项目中的退出及清算；</w:t>
      </w:r>
    </w:p>
    <w:p>
      <w:pPr>
        <w:keepNext w:val="0"/>
        <w:keepLines w:val="0"/>
        <w:pageBreakBefore w:val="0"/>
        <w:kinsoku/>
        <w:wordWrap/>
        <w:overflowPunct/>
        <w:autoSpaceDE/>
        <w:autoSpaceDN/>
        <w:bidi w:val="0"/>
        <w:spacing w:line="540" w:lineRule="exact"/>
        <w:ind w:right="0" w:rightChars="0" w:firstLine="640" w:firstLineChars="200"/>
        <w:textAlignment w:val="auto"/>
        <w:rPr>
          <w:rFonts w:ascii="仿宋_GB2312" w:eastAsia="仿宋_GB2312"/>
          <w:bCs/>
          <w:sz w:val="32"/>
          <w:szCs w:val="32"/>
        </w:rPr>
      </w:pPr>
      <w:r>
        <w:rPr>
          <w:rFonts w:hint="eastAsia" w:ascii="仿宋_GB2312" w:eastAsia="仿宋_GB2312"/>
          <w:bCs/>
          <w:sz w:val="32"/>
          <w:szCs w:val="32"/>
        </w:rPr>
        <w:t>（九）每季度末向引导基金受托管理机构报告母基金投资运作情况及其他重大事项，每年度对基金管理情况作出自评报告，及时报告运行过程中的重大事项。</w:t>
      </w:r>
    </w:p>
    <w:p>
      <w:pPr>
        <w:keepNext w:val="0"/>
        <w:keepLines w:val="0"/>
        <w:pageBreakBefore w:val="0"/>
        <w:kinsoku/>
        <w:wordWrap/>
        <w:overflowPunct/>
        <w:autoSpaceDE/>
        <w:autoSpaceDN/>
        <w:bidi w:val="0"/>
        <w:spacing w:line="540" w:lineRule="exact"/>
        <w:ind w:right="0" w:rightChars="0" w:firstLine="560" w:firstLineChars="200"/>
        <w:textAlignment w:val="auto"/>
        <w:rPr>
          <w:rFonts w:ascii="仿宋_GB2312" w:eastAsia="仿宋_GB2312"/>
          <w:bCs/>
          <w:sz w:val="32"/>
          <w:szCs w:val="32"/>
        </w:rPr>
      </w:pPr>
      <w:r>
        <w:rPr>
          <w:rFonts w:hint="eastAsia" w:ascii="楷体" w:hAnsi="楷体" w:eastAsia="楷体" w:cs="楷体"/>
          <w:sz w:val="28"/>
          <w:szCs w:val="28"/>
        </w:rPr>
        <w:t>【编制说明】本办法涉及的政府投资基金管理机构之基金管理公司的职责，参考《佛山市人民政府办公室关于印发佛山市本级政府投资基金管理实施办法的通知》（佛府办函〔2018〕996号）。</w:t>
      </w:r>
    </w:p>
    <w:p>
      <w:pPr>
        <w:keepNext w:val="0"/>
        <w:keepLines w:val="0"/>
        <w:pageBreakBefore w:val="0"/>
        <w:kinsoku/>
        <w:wordWrap/>
        <w:overflowPunct/>
        <w:autoSpaceDE/>
        <w:autoSpaceDN/>
        <w:bidi w:val="0"/>
        <w:spacing w:line="540" w:lineRule="exact"/>
        <w:ind w:right="0" w:rightChars="0" w:firstLine="643" w:firstLineChars="200"/>
        <w:textAlignment w:val="auto"/>
        <w:rPr>
          <w:rFonts w:ascii="仿宋_GB2312" w:eastAsia="仿宋_GB2312"/>
          <w:bCs/>
          <w:sz w:val="32"/>
          <w:szCs w:val="32"/>
        </w:rPr>
      </w:pPr>
      <w:r>
        <w:rPr>
          <w:rFonts w:hint="eastAsia" w:ascii="宋体" w:hAnsi="宋体"/>
          <w:b/>
          <w:sz w:val="32"/>
          <w:szCs w:val="32"/>
        </w:rPr>
        <w:t>第十条</w:t>
      </w:r>
      <w:r>
        <w:rPr>
          <w:rFonts w:hint="eastAsia" w:ascii="仿宋_GB2312" w:eastAsia="仿宋_GB2312"/>
          <w:bCs/>
          <w:sz w:val="32"/>
          <w:szCs w:val="32"/>
        </w:rPr>
        <w:t xml:space="preserve"> </w:t>
      </w:r>
      <w:r>
        <w:rPr>
          <w:rFonts w:ascii="仿宋_GB2312" w:eastAsia="仿宋_GB2312"/>
          <w:bCs/>
          <w:sz w:val="32"/>
          <w:szCs w:val="32"/>
        </w:rPr>
        <w:t xml:space="preserve"> </w:t>
      </w:r>
      <w:r>
        <w:rPr>
          <w:rFonts w:hint="eastAsia" w:ascii="仿宋_GB2312" w:eastAsia="仿宋_GB2312"/>
          <w:bCs/>
          <w:sz w:val="32"/>
          <w:szCs w:val="32"/>
        </w:rPr>
        <w:t>引导基金管理公司原则上由市基金办通过公开竞争</w:t>
      </w:r>
      <w:r>
        <w:rPr>
          <w:rFonts w:hint="eastAsia" w:ascii="仿宋_GB2312" w:eastAsia="仿宋_GB2312"/>
          <w:bCs/>
          <w:sz w:val="32"/>
          <w:szCs w:val="32"/>
          <w:lang w:eastAsia="zh-CN"/>
        </w:rPr>
        <w:t>等</w:t>
      </w:r>
      <w:r>
        <w:rPr>
          <w:rFonts w:hint="eastAsia" w:ascii="仿宋_GB2312" w:eastAsia="仿宋_GB2312"/>
          <w:bCs/>
          <w:sz w:val="32"/>
          <w:szCs w:val="32"/>
        </w:rPr>
        <w:t>方式遴选符合资质条件的专业投资管理机构产生，并在佛山市政府投资基金管理委员会审定后，以引导基金公司的名义与其签订委托管理协议。引导基金管理公司应符合以下条件：</w:t>
      </w:r>
    </w:p>
    <w:p>
      <w:pPr>
        <w:keepNext w:val="0"/>
        <w:keepLines w:val="0"/>
        <w:pageBreakBefore w:val="0"/>
        <w:kinsoku/>
        <w:wordWrap/>
        <w:overflowPunct/>
        <w:autoSpaceDE/>
        <w:autoSpaceDN/>
        <w:bidi w:val="0"/>
        <w:adjustRightInd w:val="0"/>
        <w:snapToGrid w:val="0"/>
        <w:spacing w:line="540" w:lineRule="exact"/>
        <w:ind w:right="0" w:rightChars="0" w:firstLine="627"/>
        <w:textAlignment w:val="auto"/>
        <w:rPr>
          <w:rFonts w:ascii="仿宋_GB2312" w:eastAsia="仿宋_GB2312"/>
          <w:bCs/>
          <w:sz w:val="32"/>
          <w:szCs w:val="32"/>
        </w:rPr>
      </w:pPr>
      <w:r>
        <w:rPr>
          <w:rFonts w:hint="eastAsia" w:ascii="仿宋_GB2312" w:eastAsia="仿宋_GB2312"/>
          <w:bCs/>
          <w:sz w:val="32"/>
          <w:szCs w:val="32"/>
        </w:rPr>
        <w:t>（一）在中国大陆依法设立，具有独立法人资格；</w:t>
      </w:r>
    </w:p>
    <w:p>
      <w:pPr>
        <w:keepNext w:val="0"/>
        <w:keepLines w:val="0"/>
        <w:pageBreakBefore w:val="0"/>
        <w:kinsoku/>
        <w:wordWrap/>
        <w:overflowPunct/>
        <w:autoSpaceDE/>
        <w:autoSpaceDN/>
        <w:bidi w:val="0"/>
        <w:adjustRightInd w:val="0"/>
        <w:snapToGrid w:val="0"/>
        <w:spacing w:line="540" w:lineRule="exact"/>
        <w:ind w:right="0" w:rightChars="0" w:firstLine="627"/>
        <w:textAlignment w:val="auto"/>
        <w:rPr>
          <w:rFonts w:ascii="仿宋_GB2312" w:eastAsia="仿宋_GB2312"/>
          <w:bCs/>
          <w:sz w:val="32"/>
          <w:szCs w:val="32"/>
        </w:rPr>
      </w:pPr>
      <w:r>
        <w:rPr>
          <w:rFonts w:hint="eastAsia" w:ascii="仿宋_GB2312" w:eastAsia="仿宋_GB2312"/>
          <w:bCs/>
          <w:sz w:val="32"/>
          <w:szCs w:val="32"/>
        </w:rPr>
        <w:t>（二）注册资本不低于1亿元人民币；</w:t>
      </w:r>
    </w:p>
    <w:p>
      <w:pPr>
        <w:keepNext w:val="0"/>
        <w:keepLines w:val="0"/>
        <w:pageBreakBefore w:val="0"/>
        <w:kinsoku/>
        <w:wordWrap/>
        <w:overflowPunct/>
        <w:autoSpaceDE/>
        <w:autoSpaceDN/>
        <w:bidi w:val="0"/>
        <w:adjustRightInd w:val="0"/>
        <w:snapToGrid w:val="0"/>
        <w:spacing w:line="540" w:lineRule="exact"/>
        <w:ind w:right="0" w:rightChars="0" w:firstLine="627"/>
        <w:textAlignment w:val="auto"/>
        <w:rPr>
          <w:rFonts w:ascii="仿宋_GB2312" w:eastAsia="仿宋_GB2312"/>
          <w:bCs/>
          <w:sz w:val="32"/>
          <w:szCs w:val="32"/>
        </w:rPr>
      </w:pPr>
      <w:r>
        <w:rPr>
          <w:rFonts w:hint="eastAsia" w:ascii="仿宋_GB2312" w:eastAsia="仿宋_GB2312"/>
          <w:bCs/>
          <w:sz w:val="32"/>
          <w:szCs w:val="32"/>
        </w:rPr>
        <w:t>（三）至少5名从事3年以上投资基金相关经历，并具备基金从业资格的从业人员；</w:t>
      </w:r>
    </w:p>
    <w:p>
      <w:pPr>
        <w:keepNext w:val="0"/>
        <w:keepLines w:val="0"/>
        <w:pageBreakBefore w:val="0"/>
        <w:kinsoku/>
        <w:wordWrap/>
        <w:overflowPunct/>
        <w:autoSpaceDE/>
        <w:autoSpaceDN/>
        <w:bidi w:val="0"/>
        <w:adjustRightInd w:val="0"/>
        <w:snapToGrid w:val="0"/>
        <w:spacing w:line="540" w:lineRule="exact"/>
        <w:ind w:right="0" w:rightChars="0" w:firstLine="627"/>
        <w:textAlignment w:val="auto"/>
        <w:rPr>
          <w:rFonts w:ascii="仿宋_GB2312" w:eastAsia="仿宋_GB2312"/>
          <w:bCs/>
          <w:sz w:val="32"/>
          <w:szCs w:val="32"/>
        </w:rPr>
      </w:pPr>
      <w:r>
        <w:rPr>
          <w:rFonts w:hint="eastAsia" w:ascii="仿宋_GB2312" w:eastAsia="仿宋_GB2312"/>
          <w:bCs/>
          <w:sz w:val="32"/>
          <w:szCs w:val="32"/>
        </w:rPr>
        <w:t>（四）有完善的投资基金管理制度，包括良好的内部治理结构和风险控制制度等；</w:t>
      </w:r>
    </w:p>
    <w:p>
      <w:pPr>
        <w:keepNext w:val="0"/>
        <w:keepLines w:val="0"/>
        <w:pageBreakBefore w:val="0"/>
        <w:kinsoku/>
        <w:wordWrap/>
        <w:overflowPunct/>
        <w:autoSpaceDE/>
        <w:autoSpaceDN/>
        <w:bidi w:val="0"/>
        <w:adjustRightInd w:val="0"/>
        <w:snapToGrid w:val="0"/>
        <w:spacing w:line="540" w:lineRule="exact"/>
        <w:ind w:right="0" w:rightChars="0" w:firstLine="627"/>
        <w:textAlignment w:val="auto"/>
        <w:rPr>
          <w:rFonts w:ascii="仿宋_GB2312" w:eastAsia="仿宋_GB2312"/>
          <w:bCs/>
          <w:sz w:val="32"/>
          <w:szCs w:val="32"/>
        </w:rPr>
      </w:pPr>
      <w:r>
        <w:rPr>
          <w:rFonts w:hint="eastAsia" w:ascii="仿宋_GB2312" w:eastAsia="仿宋_GB2312"/>
          <w:bCs/>
          <w:sz w:val="32"/>
          <w:szCs w:val="32"/>
        </w:rPr>
        <w:t>（五）有作为出资人参与设立并管理投资基金的成功经验；</w:t>
      </w:r>
    </w:p>
    <w:p>
      <w:pPr>
        <w:keepNext w:val="0"/>
        <w:keepLines w:val="0"/>
        <w:pageBreakBefore w:val="0"/>
        <w:kinsoku/>
        <w:wordWrap/>
        <w:overflowPunct/>
        <w:autoSpaceDE/>
        <w:autoSpaceDN/>
        <w:bidi w:val="0"/>
        <w:adjustRightInd w:val="0"/>
        <w:snapToGrid w:val="0"/>
        <w:spacing w:line="540" w:lineRule="exact"/>
        <w:ind w:right="0" w:rightChars="0" w:firstLine="627"/>
        <w:textAlignment w:val="auto"/>
        <w:rPr>
          <w:rFonts w:ascii="仿宋_GB2312" w:eastAsia="仿宋_GB2312"/>
          <w:bCs/>
          <w:sz w:val="32"/>
          <w:szCs w:val="32"/>
        </w:rPr>
      </w:pPr>
      <w:r>
        <w:rPr>
          <w:rFonts w:hint="eastAsia" w:ascii="仿宋_GB2312" w:eastAsia="仿宋_GB2312"/>
          <w:bCs/>
          <w:sz w:val="32"/>
          <w:szCs w:val="32"/>
        </w:rPr>
        <w:t>（六）基金管理公司及其董事、监事、高级管理人员在最近3年无重大违法行为，没有受过行政主管机关或司法机关重大处罚的不良记录，保持良好的财务状况；</w:t>
      </w:r>
    </w:p>
    <w:p>
      <w:pPr>
        <w:keepNext w:val="0"/>
        <w:keepLines w:val="0"/>
        <w:pageBreakBefore w:val="0"/>
        <w:kinsoku/>
        <w:wordWrap/>
        <w:overflowPunct/>
        <w:autoSpaceDE/>
        <w:autoSpaceDN/>
        <w:bidi w:val="0"/>
        <w:adjustRightInd w:val="0"/>
        <w:snapToGrid w:val="0"/>
        <w:spacing w:line="540" w:lineRule="exact"/>
        <w:ind w:right="0" w:rightChars="0" w:firstLine="627"/>
        <w:textAlignment w:val="auto"/>
        <w:rPr>
          <w:rFonts w:ascii="仿宋_GB2312" w:eastAsia="仿宋_GB2312"/>
          <w:bCs/>
          <w:sz w:val="32"/>
          <w:szCs w:val="32"/>
        </w:rPr>
      </w:pPr>
      <w:r>
        <w:rPr>
          <w:rFonts w:hint="eastAsia" w:ascii="仿宋_GB2312" w:eastAsia="仿宋_GB2312"/>
          <w:bCs/>
          <w:sz w:val="32"/>
          <w:szCs w:val="32"/>
        </w:rPr>
        <w:t>（七）在规定标准以下最大限度降低引导基金管理费用。</w:t>
      </w:r>
    </w:p>
    <w:p>
      <w:pPr>
        <w:keepNext w:val="0"/>
        <w:keepLines w:val="0"/>
        <w:pageBreakBefore w:val="0"/>
        <w:kinsoku/>
        <w:wordWrap/>
        <w:overflowPunct/>
        <w:autoSpaceDE/>
        <w:autoSpaceDN/>
        <w:bidi w:val="0"/>
        <w:adjustRightInd w:val="0"/>
        <w:snapToGrid w:val="0"/>
        <w:spacing w:line="540" w:lineRule="exact"/>
        <w:ind w:right="0" w:rightChars="0" w:firstLine="627"/>
        <w:textAlignment w:val="auto"/>
        <w:rPr>
          <w:rFonts w:ascii="仿宋_GB2312" w:eastAsia="仿宋_GB2312"/>
          <w:bCs/>
          <w:sz w:val="32"/>
          <w:szCs w:val="32"/>
        </w:rPr>
      </w:pPr>
      <w:r>
        <w:rPr>
          <w:rFonts w:hint="eastAsia" w:ascii="仿宋_GB2312" w:eastAsia="仿宋_GB2312"/>
          <w:bCs/>
          <w:sz w:val="32"/>
          <w:szCs w:val="32"/>
        </w:rPr>
        <w:t>在本办法生效</w:t>
      </w:r>
      <w:r>
        <w:rPr>
          <w:rFonts w:hint="eastAsia" w:ascii="仿宋_GB2312" w:eastAsia="仿宋_GB2312"/>
          <w:bCs/>
          <w:sz w:val="32"/>
          <w:szCs w:val="32"/>
          <w:lang w:eastAsia="zh-CN"/>
        </w:rPr>
        <w:t>前</w:t>
      </w:r>
      <w:r>
        <w:rPr>
          <w:rFonts w:hint="eastAsia" w:ascii="仿宋_GB2312" w:eastAsia="仿宋_GB2312"/>
          <w:bCs/>
          <w:sz w:val="32"/>
          <w:szCs w:val="32"/>
        </w:rPr>
        <w:t>，仍由原佛山市创新创业产业引导基金的基金管理公司担任引导基金的基金管理人；在本办法生效后，若引导基金管理公司后续考核不达标、需更换基金管理人时，则新的引导基金管理公司按照本办法规定遴选产生。</w:t>
      </w:r>
    </w:p>
    <w:p>
      <w:pPr>
        <w:keepNext w:val="0"/>
        <w:keepLines w:val="0"/>
        <w:pageBreakBefore w:val="0"/>
        <w:kinsoku/>
        <w:wordWrap/>
        <w:overflowPunct/>
        <w:autoSpaceDE/>
        <w:autoSpaceDN/>
        <w:bidi w:val="0"/>
        <w:adjustRightInd w:val="0"/>
        <w:snapToGrid w:val="0"/>
        <w:spacing w:line="540" w:lineRule="exact"/>
        <w:ind w:right="0" w:rightChars="0" w:firstLine="627"/>
        <w:textAlignment w:val="auto"/>
        <w:rPr>
          <w:rFonts w:ascii="仿宋_GB2312" w:eastAsia="仿宋_GB2312"/>
          <w:bCs/>
          <w:sz w:val="32"/>
          <w:szCs w:val="32"/>
        </w:rPr>
      </w:pPr>
      <w:r>
        <w:rPr>
          <w:rFonts w:hint="eastAsia" w:ascii="楷体" w:hAnsi="楷体" w:eastAsia="楷体" w:cs="楷体"/>
          <w:sz w:val="28"/>
          <w:szCs w:val="28"/>
        </w:rPr>
        <w:t>【编制说明】本办法涉及的政府投资基金管理机构之基金管理公司的产生方式及其资格要求，参考《佛山市人民政府办公室关于印发佛山市本级政府投资基金管理实施办法的通知》（佛府办函〔2018〕996号）。在本办法制定前，引导基金已存在基金管理公司，按照《佛山市人民政府办公室关于市级财政出资政策性基金清理规范的实施意见》（佛府办函〔2018〕1003号）关于引导基金架构不变的精神要求，本办法承继之。</w:t>
      </w:r>
    </w:p>
    <w:p>
      <w:pPr>
        <w:keepNext w:val="0"/>
        <w:keepLines w:val="0"/>
        <w:pageBreakBefore w:val="0"/>
        <w:kinsoku/>
        <w:wordWrap/>
        <w:overflowPunct/>
        <w:autoSpaceDE/>
        <w:autoSpaceDN/>
        <w:bidi w:val="0"/>
        <w:spacing w:line="540" w:lineRule="exact"/>
        <w:ind w:right="0" w:rightChars="0" w:firstLine="643" w:firstLineChars="200"/>
        <w:textAlignment w:val="auto"/>
        <w:rPr>
          <w:rFonts w:ascii="仿宋_GB2312" w:eastAsia="仿宋_GB2312"/>
          <w:bCs/>
          <w:sz w:val="32"/>
          <w:szCs w:val="32"/>
        </w:rPr>
      </w:pPr>
      <w:r>
        <w:rPr>
          <w:rFonts w:hint="eastAsia" w:ascii="宋体" w:hAnsi="宋体"/>
          <w:b/>
          <w:sz w:val="32"/>
          <w:szCs w:val="32"/>
        </w:rPr>
        <w:t>第十一条</w:t>
      </w:r>
      <w:r>
        <w:rPr>
          <w:rFonts w:hint="eastAsia" w:ascii="仿宋_GB2312" w:eastAsia="仿宋_GB2312"/>
          <w:bCs/>
          <w:sz w:val="32"/>
          <w:szCs w:val="32"/>
        </w:rPr>
        <w:t xml:space="preserve"> </w:t>
      </w:r>
      <w:r>
        <w:rPr>
          <w:rFonts w:ascii="仿宋_GB2312" w:eastAsia="仿宋_GB2312"/>
          <w:bCs/>
          <w:sz w:val="32"/>
          <w:szCs w:val="32"/>
        </w:rPr>
        <w:t xml:space="preserve"> </w:t>
      </w:r>
      <w:r>
        <w:rPr>
          <w:rFonts w:hint="eastAsia" w:ascii="仿宋_GB2312" w:eastAsia="仿宋_GB2312"/>
          <w:bCs/>
          <w:sz w:val="32"/>
          <w:szCs w:val="32"/>
        </w:rPr>
        <w:t>基金托管银行依据托管协议负责账户管理、资金清算、资产保管等事务，对投资活动实施动态监督。</w:t>
      </w:r>
    </w:p>
    <w:p>
      <w:pPr>
        <w:keepNext w:val="0"/>
        <w:keepLines w:val="0"/>
        <w:pageBreakBefore w:val="0"/>
        <w:kinsoku/>
        <w:wordWrap/>
        <w:overflowPunct/>
        <w:autoSpaceDE/>
        <w:autoSpaceDN/>
        <w:bidi w:val="0"/>
        <w:spacing w:line="540" w:lineRule="exact"/>
        <w:ind w:right="0" w:rightChars="0" w:firstLine="640" w:firstLineChars="200"/>
        <w:textAlignment w:val="auto"/>
        <w:rPr>
          <w:rFonts w:ascii="仿宋_GB2312" w:eastAsia="仿宋_GB2312"/>
          <w:bCs/>
          <w:sz w:val="32"/>
          <w:szCs w:val="32"/>
        </w:rPr>
      </w:pPr>
      <w:r>
        <w:rPr>
          <w:rFonts w:hint="eastAsia" w:ascii="仿宋_GB2312" w:eastAsia="仿宋_GB2312"/>
          <w:bCs/>
          <w:sz w:val="32"/>
          <w:szCs w:val="32"/>
        </w:rPr>
        <w:t>引导基金应选择在佛山市境内具有分支机构的商业银行进行托管。托管银行应符合以下条件：</w:t>
      </w:r>
    </w:p>
    <w:p>
      <w:pPr>
        <w:keepNext w:val="0"/>
        <w:keepLines w:val="0"/>
        <w:pageBreakBefore w:val="0"/>
        <w:kinsoku/>
        <w:wordWrap/>
        <w:overflowPunct/>
        <w:autoSpaceDE/>
        <w:autoSpaceDN/>
        <w:bidi w:val="0"/>
        <w:adjustRightInd w:val="0"/>
        <w:snapToGrid w:val="0"/>
        <w:spacing w:line="540" w:lineRule="exact"/>
        <w:ind w:right="0" w:rightChars="0" w:firstLine="627"/>
        <w:textAlignment w:val="auto"/>
        <w:rPr>
          <w:rFonts w:ascii="仿宋_GB2312" w:eastAsia="仿宋_GB2312"/>
          <w:bCs/>
          <w:sz w:val="32"/>
          <w:szCs w:val="32"/>
        </w:rPr>
      </w:pPr>
      <w:r>
        <w:rPr>
          <w:rFonts w:hint="eastAsia" w:ascii="仿宋_GB2312" w:eastAsia="仿宋_GB2312"/>
          <w:bCs/>
          <w:sz w:val="32"/>
          <w:szCs w:val="32"/>
        </w:rPr>
        <w:t>（一）经国家有关部门核准认定具有基金托管资格的；</w:t>
      </w:r>
    </w:p>
    <w:p>
      <w:pPr>
        <w:keepNext w:val="0"/>
        <w:keepLines w:val="0"/>
        <w:pageBreakBefore w:val="0"/>
        <w:kinsoku/>
        <w:wordWrap/>
        <w:overflowPunct/>
        <w:autoSpaceDE/>
        <w:autoSpaceDN/>
        <w:bidi w:val="0"/>
        <w:adjustRightInd w:val="0"/>
        <w:snapToGrid w:val="0"/>
        <w:spacing w:line="540" w:lineRule="exact"/>
        <w:ind w:right="0" w:rightChars="0" w:firstLine="627"/>
        <w:textAlignment w:val="auto"/>
        <w:rPr>
          <w:rFonts w:ascii="仿宋_GB2312" w:eastAsia="仿宋_GB2312"/>
          <w:bCs/>
          <w:sz w:val="32"/>
          <w:szCs w:val="32"/>
        </w:rPr>
      </w:pPr>
      <w:r>
        <w:rPr>
          <w:rFonts w:hint="eastAsia" w:ascii="仿宋_GB2312" w:eastAsia="仿宋_GB2312"/>
          <w:bCs/>
          <w:sz w:val="32"/>
          <w:szCs w:val="32"/>
        </w:rPr>
        <w:t>（二）最近3年以上保持良好的财务状况，没有受过行政主管机关或司法机关重大处罚的不良记录；</w:t>
      </w:r>
    </w:p>
    <w:p>
      <w:pPr>
        <w:keepNext w:val="0"/>
        <w:keepLines w:val="0"/>
        <w:pageBreakBefore w:val="0"/>
        <w:kinsoku/>
        <w:wordWrap/>
        <w:overflowPunct/>
        <w:autoSpaceDE/>
        <w:autoSpaceDN/>
        <w:bidi w:val="0"/>
        <w:adjustRightInd w:val="0"/>
        <w:snapToGrid w:val="0"/>
        <w:spacing w:line="540" w:lineRule="exact"/>
        <w:ind w:right="0" w:rightChars="0" w:firstLine="627"/>
        <w:textAlignment w:val="auto"/>
        <w:rPr>
          <w:rFonts w:ascii="仿宋_GB2312" w:eastAsia="仿宋_GB2312"/>
          <w:bCs/>
          <w:sz w:val="32"/>
          <w:szCs w:val="32"/>
        </w:rPr>
      </w:pPr>
      <w:r>
        <w:rPr>
          <w:rFonts w:hint="eastAsia" w:ascii="仿宋_GB2312" w:eastAsia="仿宋_GB2312"/>
          <w:bCs/>
          <w:sz w:val="32"/>
          <w:szCs w:val="32"/>
        </w:rPr>
        <w:t>（三）优先考虑与政府部门开展业务合作情况良好的；</w:t>
      </w:r>
    </w:p>
    <w:p>
      <w:pPr>
        <w:keepNext w:val="0"/>
        <w:keepLines w:val="0"/>
        <w:pageBreakBefore w:val="0"/>
        <w:kinsoku/>
        <w:wordWrap/>
        <w:overflowPunct/>
        <w:autoSpaceDE/>
        <w:autoSpaceDN/>
        <w:bidi w:val="0"/>
        <w:adjustRightInd w:val="0"/>
        <w:snapToGrid w:val="0"/>
        <w:spacing w:line="540" w:lineRule="exact"/>
        <w:ind w:right="0" w:rightChars="0" w:firstLine="627"/>
        <w:textAlignment w:val="auto"/>
        <w:rPr>
          <w:rFonts w:ascii="仿宋_GB2312" w:eastAsia="仿宋_GB2312"/>
          <w:bCs/>
          <w:sz w:val="32"/>
          <w:szCs w:val="32"/>
        </w:rPr>
      </w:pPr>
      <w:r>
        <w:rPr>
          <w:rFonts w:hint="eastAsia" w:ascii="仿宋_GB2312" w:eastAsia="仿宋_GB2312"/>
          <w:bCs/>
          <w:sz w:val="32"/>
          <w:szCs w:val="32"/>
        </w:rPr>
        <w:t>（四）法律、法规规定的和经国务院批准的证券监督管理机构、银行业监督管理机构规定的其他条件。</w:t>
      </w:r>
    </w:p>
    <w:p>
      <w:pPr>
        <w:keepNext w:val="0"/>
        <w:keepLines w:val="0"/>
        <w:pageBreakBefore w:val="0"/>
        <w:kinsoku/>
        <w:wordWrap/>
        <w:overflowPunct/>
        <w:autoSpaceDE/>
        <w:autoSpaceDN/>
        <w:bidi w:val="0"/>
        <w:adjustRightInd w:val="0"/>
        <w:snapToGrid w:val="0"/>
        <w:spacing w:line="540" w:lineRule="exact"/>
        <w:ind w:right="0" w:rightChars="0" w:firstLine="627"/>
        <w:textAlignment w:val="auto"/>
        <w:rPr>
          <w:rFonts w:ascii="仿宋_GB2312" w:eastAsia="仿宋_GB2312"/>
          <w:bCs/>
          <w:sz w:val="32"/>
          <w:szCs w:val="32"/>
        </w:rPr>
      </w:pPr>
      <w:r>
        <w:rPr>
          <w:rFonts w:hint="eastAsia" w:ascii="楷体" w:hAnsi="楷体" w:eastAsia="楷体" w:cs="楷体"/>
          <w:sz w:val="28"/>
          <w:szCs w:val="28"/>
        </w:rPr>
        <w:t>【编制说明】本办法涉及的政府投资基金托管机构资格要求，参考《佛山市人民政府办公室关于印发佛山市本级政府投资基金管理实施办法的通知》（佛府办函〔2018〕996号）。</w:t>
      </w:r>
    </w:p>
    <w:p>
      <w:pPr>
        <w:keepNext w:val="0"/>
        <w:keepLines w:val="0"/>
        <w:pageBreakBefore w:val="0"/>
        <w:kinsoku/>
        <w:wordWrap/>
        <w:overflowPunct/>
        <w:autoSpaceDE/>
        <w:autoSpaceDN/>
        <w:bidi w:val="0"/>
        <w:adjustRightInd w:val="0"/>
        <w:snapToGrid w:val="0"/>
        <w:spacing w:line="540" w:lineRule="exact"/>
        <w:ind w:right="0" w:rightChars="0" w:firstLine="627"/>
        <w:textAlignment w:val="auto"/>
        <w:rPr>
          <w:rFonts w:ascii="仿宋_GB2312" w:eastAsia="仿宋_GB2312"/>
          <w:bCs/>
          <w:sz w:val="32"/>
          <w:szCs w:val="32"/>
        </w:rPr>
      </w:pPr>
      <w:r>
        <w:rPr>
          <w:rFonts w:hint="eastAsia" w:ascii="宋体" w:hAnsi="宋体"/>
          <w:b/>
          <w:sz w:val="32"/>
          <w:szCs w:val="32"/>
        </w:rPr>
        <w:t>第十二条</w:t>
      </w:r>
      <w:r>
        <w:rPr>
          <w:rFonts w:hint="eastAsia" w:ascii="仿宋_GB2312" w:eastAsia="仿宋_GB2312"/>
          <w:bCs/>
          <w:sz w:val="32"/>
          <w:szCs w:val="32"/>
        </w:rPr>
        <w:t xml:space="preserve"> </w:t>
      </w:r>
      <w:r>
        <w:rPr>
          <w:rFonts w:ascii="仿宋_GB2312" w:eastAsia="仿宋_GB2312"/>
          <w:bCs/>
          <w:sz w:val="32"/>
          <w:szCs w:val="32"/>
        </w:rPr>
        <w:t xml:space="preserve"> </w:t>
      </w:r>
      <w:r>
        <w:rPr>
          <w:rFonts w:hint="eastAsia" w:ascii="仿宋_GB2312" w:eastAsia="仿宋_GB2312"/>
          <w:bCs/>
          <w:sz w:val="32"/>
          <w:szCs w:val="32"/>
        </w:rPr>
        <w:t>引导基金设立独立的投资决策委员会，作为引导基金重要事项最高决策机构。投资决策委员会成员5名，其中业务主管部门、受托管理机构、引导基金管理公司各委派1名，社会外聘专家（行业、财经、法律等领域）2名。投资决策委员会通过投票方式，根据少数服从多数的原则，对基金的重要事项进行决策。投资决策委员会进行重大事项决策采取三票通过制。投资决策委员会议事规则由引导基金管理公司另行制定，报投资决策委员会审议通过。</w:t>
      </w:r>
    </w:p>
    <w:p>
      <w:pPr>
        <w:keepNext w:val="0"/>
        <w:keepLines w:val="0"/>
        <w:pageBreakBefore w:val="0"/>
        <w:kinsoku/>
        <w:wordWrap/>
        <w:overflowPunct/>
        <w:autoSpaceDE/>
        <w:autoSpaceDN/>
        <w:bidi w:val="0"/>
        <w:adjustRightInd w:val="0"/>
        <w:snapToGrid w:val="0"/>
        <w:spacing w:line="540" w:lineRule="exact"/>
        <w:ind w:right="0" w:rightChars="0" w:firstLine="560" w:firstLineChars="200"/>
        <w:textAlignment w:val="auto"/>
        <w:rPr>
          <w:rFonts w:ascii="仿宋_GB2312" w:eastAsia="仿宋_GB2312"/>
          <w:sz w:val="32"/>
          <w:szCs w:val="32"/>
        </w:rPr>
      </w:pPr>
      <w:r>
        <w:rPr>
          <w:rFonts w:hint="eastAsia" w:ascii="楷体" w:hAnsi="楷体" w:eastAsia="楷体" w:cs="楷体"/>
          <w:sz w:val="28"/>
          <w:szCs w:val="28"/>
        </w:rPr>
        <w:t>【编制说明】本办法涉及的政府投资基金日常经营重大事项的决策机构、产生方式及决策方式，参考《佛山市人民政府办公室关于印发佛山市本级政府投资基金管理实施办法的通知》（佛府办函〔2018〕996号）。</w:t>
      </w:r>
    </w:p>
    <w:p>
      <w:pPr>
        <w:keepNext w:val="0"/>
        <w:keepLines w:val="0"/>
        <w:pageBreakBefore w:val="0"/>
        <w:kinsoku/>
        <w:wordWrap/>
        <w:overflowPunct/>
        <w:autoSpaceDE/>
        <w:autoSpaceDN/>
        <w:bidi w:val="0"/>
        <w:adjustRightInd w:val="0"/>
        <w:snapToGrid w:val="0"/>
        <w:spacing w:line="540" w:lineRule="exact"/>
        <w:ind w:right="0" w:rightChars="0"/>
        <w:jc w:val="center"/>
        <w:textAlignment w:val="auto"/>
        <w:outlineLvl w:val="0"/>
        <w:rPr>
          <w:rFonts w:ascii="黑体" w:hAnsi="宋体" w:eastAsia="黑体"/>
          <w:b/>
          <w:sz w:val="32"/>
          <w:szCs w:val="32"/>
        </w:rPr>
      </w:pPr>
      <w:r>
        <w:rPr>
          <w:rFonts w:hint="eastAsia" w:ascii="黑体" w:hAnsi="宋体" w:eastAsia="黑体"/>
          <w:b/>
          <w:sz w:val="32"/>
          <w:szCs w:val="32"/>
        </w:rPr>
        <w:t>第三章  合作子基金投资运作</w:t>
      </w:r>
    </w:p>
    <w:p>
      <w:pPr>
        <w:keepNext w:val="0"/>
        <w:keepLines w:val="0"/>
        <w:pageBreakBefore w:val="0"/>
        <w:kinsoku/>
        <w:wordWrap/>
        <w:overflowPunct/>
        <w:autoSpaceDE/>
        <w:autoSpaceDN/>
        <w:bidi w:val="0"/>
        <w:spacing w:line="540" w:lineRule="exact"/>
        <w:ind w:right="0" w:rightChars="0" w:firstLine="643" w:firstLineChars="200"/>
        <w:textAlignment w:val="auto"/>
        <w:rPr>
          <w:rFonts w:ascii="仿宋_GB2312" w:hAnsi="仿宋_GB2312" w:eastAsia="仿宋_GB2312" w:cs="仿宋_GB2312"/>
          <w:sz w:val="32"/>
          <w:szCs w:val="36"/>
        </w:rPr>
      </w:pPr>
      <w:r>
        <w:rPr>
          <w:rFonts w:hint="eastAsia" w:ascii="宋体" w:hAnsi="宋体"/>
          <w:b/>
          <w:sz w:val="32"/>
          <w:szCs w:val="32"/>
        </w:rPr>
        <w:t xml:space="preserve">第十三条  </w:t>
      </w:r>
      <w:r>
        <w:rPr>
          <w:rFonts w:hint="eastAsia" w:ascii="仿宋_GB2312" w:hAnsi="仿宋_GB2312" w:eastAsia="仿宋_GB2312" w:cs="仿宋_GB2312"/>
          <w:sz w:val="32"/>
          <w:szCs w:val="36"/>
        </w:rPr>
        <w:t>合作子基金由引导基金和社会资本共同发起设立，由合作子基金管理公司（GP）管理。</w:t>
      </w:r>
    </w:p>
    <w:p>
      <w:pPr>
        <w:keepNext w:val="0"/>
        <w:keepLines w:val="0"/>
        <w:pageBreakBefore w:val="0"/>
        <w:kinsoku/>
        <w:wordWrap/>
        <w:overflowPunct/>
        <w:autoSpaceDE/>
        <w:autoSpaceDN/>
        <w:bidi w:val="0"/>
        <w:spacing w:line="540" w:lineRule="exact"/>
        <w:ind w:right="0" w:rightChars="0" w:firstLine="640"/>
        <w:textAlignment w:val="auto"/>
        <w:rPr>
          <w:rFonts w:ascii="仿宋_GB2312" w:hAnsi="仿宋_GB2312" w:eastAsia="仿宋_GB2312" w:cs="仿宋_GB2312"/>
          <w:sz w:val="32"/>
          <w:szCs w:val="36"/>
        </w:rPr>
      </w:pPr>
      <w:r>
        <w:rPr>
          <w:rFonts w:hint="eastAsia" w:ascii="仿宋_GB2312" w:hAnsi="仿宋_GB2312" w:eastAsia="仿宋_GB2312" w:cs="仿宋_GB2312"/>
          <w:sz w:val="32"/>
          <w:szCs w:val="36"/>
        </w:rPr>
        <w:t>（一）市场化合作子基</w:t>
      </w:r>
      <w:r>
        <w:rPr>
          <w:rFonts w:hint="eastAsia" w:ascii="仿宋_GB2312" w:hAnsi="仿宋_GB2312" w:eastAsia="仿宋_GB2312" w:cs="仿宋_GB2312"/>
          <w:sz w:val="32"/>
          <w:szCs w:val="32"/>
        </w:rPr>
        <w:t>金主要投向以</w:t>
      </w:r>
      <w:r>
        <w:rPr>
          <w:rFonts w:hint="eastAsia" w:ascii="仿宋_GB2312" w:hAnsi="仿宋_GB2312" w:eastAsia="仿宋_GB2312" w:cs="仿宋_GB2312"/>
          <w:sz w:val="32"/>
          <w:szCs w:val="36"/>
        </w:rPr>
        <w:t>下领域的创新创业企业：</w:t>
      </w:r>
    </w:p>
    <w:p>
      <w:pPr>
        <w:keepNext w:val="0"/>
        <w:keepLines w:val="0"/>
        <w:pageBreakBefore w:val="0"/>
        <w:kinsoku/>
        <w:wordWrap/>
        <w:overflowPunct/>
        <w:autoSpaceDE/>
        <w:autoSpaceDN/>
        <w:bidi w:val="0"/>
        <w:spacing w:line="540" w:lineRule="exact"/>
        <w:ind w:right="0" w:rightChars="0" w:firstLine="640"/>
        <w:textAlignment w:val="auto"/>
        <w:rPr>
          <w:rFonts w:ascii="仿宋_GB2312" w:hAnsi="仿宋_GB2312" w:eastAsia="仿宋_GB2312" w:cs="仿宋_GB2312"/>
          <w:sz w:val="32"/>
          <w:szCs w:val="36"/>
        </w:rPr>
      </w:pPr>
      <w:r>
        <w:rPr>
          <w:rFonts w:hint="eastAsia" w:ascii="仿宋_GB2312" w:hAnsi="仿宋_GB2312" w:eastAsia="仿宋_GB2312" w:cs="仿宋_GB2312"/>
          <w:sz w:val="32"/>
          <w:szCs w:val="36"/>
        </w:rPr>
        <w:t>1.</w:t>
      </w:r>
      <w:r>
        <w:rPr>
          <w:rFonts w:hint="eastAsia" w:ascii="仿宋_GB2312" w:hAnsi="仿宋_GB2312" w:eastAsia="仿宋_GB2312" w:cs="仿宋_GB2312"/>
          <w:sz w:val="32"/>
          <w:szCs w:val="32"/>
        </w:rPr>
        <w:t>新一代信息技术、</w:t>
      </w:r>
      <w:r>
        <w:rPr>
          <w:rFonts w:hint="eastAsia" w:ascii="仿宋_GB2312" w:hAnsi="仿宋_GB2312" w:eastAsia="仿宋_GB2312" w:cs="仿宋_GB2312"/>
          <w:sz w:val="32"/>
          <w:szCs w:val="32"/>
          <w:lang w:eastAsia="zh-CN"/>
        </w:rPr>
        <w:t>新能源、</w:t>
      </w:r>
      <w:r>
        <w:rPr>
          <w:rFonts w:hint="eastAsia" w:ascii="仿宋_GB2312" w:hAnsi="仿宋_GB2312" w:eastAsia="仿宋_GB2312" w:cs="仿宋_GB2312"/>
          <w:sz w:val="32"/>
          <w:szCs w:val="32"/>
        </w:rPr>
        <w:t>新材料、创新药物和生物医药、节能环保</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新能源汽车等战略性新兴产业；</w:t>
      </w:r>
    </w:p>
    <w:p>
      <w:pPr>
        <w:keepNext w:val="0"/>
        <w:keepLines w:val="0"/>
        <w:pageBreakBefore w:val="0"/>
        <w:kinsoku/>
        <w:wordWrap/>
        <w:overflowPunct/>
        <w:autoSpaceDE/>
        <w:autoSpaceDN/>
        <w:bidi w:val="0"/>
        <w:spacing w:line="540" w:lineRule="exact"/>
        <w:ind w:right="0" w:rightChars="0"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6"/>
        </w:rPr>
        <w:t>2.</w:t>
      </w:r>
      <w:r>
        <w:rPr>
          <w:rFonts w:hint="eastAsia" w:ascii="仿宋_GB2312" w:hAnsi="仿宋_GB2312" w:eastAsia="仿宋_GB2312" w:cs="仿宋_GB2312"/>
          <w:sz w:val="32"/>
          <w:szCs w:val="32"/>
        </w:rPr>
        <w:t>智能制造装备、汽车及零配件、新能源装备、节能环保装备、3D打印装备、通用及专业机械装备、石化及精细化工等先进制造业；</w:t>
      </w:r>
    </w:p>
    <w:p>
      <w:pPr>
        <w:keepNext w:val="0"/>
        <w:keepLines w:val="0"/>
        <w:pageBreakBefore w:val="0"/>
        <w:kinsoku/>
        <w:wordWrap/>
        <w:overflowPunct/>
        <w:autoSpaceDE/>
        <w:autoSpaceDN/>
        <w:bidi w:val="0"/>
        <w:spacing w:line="540" w:lineRule="exact"/>
        <w:ind w:right="0" w:rightChars="0" w:firstLine="640"/>
        <w:textAlignment w:val="auto"/>
        <w:rPr>
          <w:rFonts w:ascii="仿宋" w:hAnsi="仿宋" w:eastAsia="仿宋" w:cs="仿宋_GB2312"/>
          <w:sz w:val="32"/>
          <w:szCs w:val="32"/>
        </w:rPr>
      </w:pPr>
      <w:r>
        <w:rPr>
          <w:rStyle w:val="16"/>
          <w:rFonts w:hint="eastAsia" w:eastAsia="仿宋"/>
        </w:rPr>
        <w:t>3.</w:t>
      </w:r>
      <w:r>
        <w:rPr>
          <w:rStyle w:val="16"/>
          <w:rFonts w:eastAsia="仿宋"/>
        </w:rPr>
        <w:t>新型电子元器件、集成电路、物联网、高</w:t>
      </w:r>
      <w:r>
        <w:rPr>
          <w:rStyle w:val="16"/>
          <w:rFonts w:hint="eastAsia" w:eastAsia="仿宋"/>
        </w:rPr>
        <w:t>新</w:t>
      </w:r>
      <w:r>
        <w:rPr>
          <w:rStyle w:val="16"/>
          <w:rFonts w:eastAsia="仿宋"/>
        </w:rPr>
        <w:t>技术服务等高技术产业</w:t>
      </w:r>
      <w:r>
        <w:rPr>
          <w:rStyle w:val="16"/>
          <w:rFonts w:hint="eastAsia" w:eastAsia="仿宋"/>
        </w:rPr>
        <w:t>；</w:t>
      </w:r>
    </w:p>
    <w:p>
      <w:pPr>
        <w:keepNext w:val="0"/>
        <w:keepLines w:val="0"/>
        <w:pageBreakBefore w:val="0"/>
        <w:kinsoku/>
        <w:wordWrap/>
        <w:overflowPunct/>
        <w:autoSpaceDE/>
        <w:autoSpaceDN/>
        <w:bidi w:val="0"/>
        <w:spacing w:line="540" w:lineRule="exact"/>
        <w:ind w:right="0" w:rightChars="0" w:firstLine="640"/>
        <w:textAlignment w:val="auto"/>
        <w:rPr>
          <w:rFonts w:ascii="仿宋_GB2312" w:hAnsi="仿宋_GB2312" w:eastAsia="仿宋_GB2312" w:cs="仿宋_GB2312"/>
          <w:sz w:val="32"/>
          <w:szCs w:val="36"/>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6"/>
        </w:rPr>
        <w:t>国家和省认定的其他战略性新兴产业项目；</w:t>
      </w:r>
    </w:p>
    <w:p>
      <w:pPr>
        <w:keepNext w:val="0"/>
        <w:keepLines w:val="0"/>
        <w:pageBreakBefore w:val="0"/>
        <w:kinsoku/>
        <w:wordWrap/>
        <w:overflowPunct/>
        <w:autoSpaceDE/>
        <w:autoSpaceDN/>
        <w:bidi w:val="0"/>
        <w:spacing w:line="540" w:lineRule="exact"/>
        <w:ind w:right="0" w:rightChars="0" w:firstLine="640"/>
        <w:textAlignment w:val="auto"/>
        <w:rPr>
          <w:rFonts w:ascii="仿宋_GB2312" w:hAnsi="仿宋_GB2312" w:eastAsia="仿宋_GB2312" w:cs="仿宋_GB2312"/>
          <w:sz w:val="32"/>
          <w:szCs w:val="36"/>
        </w:rPr>
      </w:pPr>
      <w:r>
        <w:rPr>
          <w:rFonts w:hint="eastAsia" w:ascii="仿宋_GB2312" w:hAnsi="仿宋_GB2312" w:eastAsia="仿宋_GB2312" w:cs="仿宋_GB2312"/>
          <w:sz w:val="32"/>
          <w:szCs w:val="36"/>
        </w:rPr>
        <w:t>5.国家、省和市重点支持的其他高技术制造业和先进制造业项目。</w:t>
      </w:r>
    </w:p>
    <w:p>
      <w:pPr>
        <w:keepNext w:val="0"/>
        <w:keepLines w:val="0"/>
        <w:pageBreakBefore w:val="0"/>
        <w:kinsoku/>
        <w:wordWrap/>
        <w:overflowPunct/>
        <w:autoSpaceDE/>
        <w:autoSpaceDN/>
        <w:bidi w:val="0"/>
        <w:spacing w:line="540" w:lineRule="exact"/>
        <w:ind w:right="0" w:rightChars="0" w:firstLine="640"/>
        <w:textAlignment w:val="auto"/>
        <w:rPr>
          <w:rFonts w:ascii="仿宋_GB2312" w:hAnsi="仿宋_GB2312" w:eastAsia="仿宋_GB2312" w:cs="仿宋_GB2312"/>
          <w:sz w:val="32"/>
          <w:szCs w:val="36"/>
        </w:rPr>
      </w:pPr>
      <w:r>
        <w:rPr>
          <w:rFonts w:hint="eastAsia" w:ascii="仿宋_GB2312" w:hAnsi="仿宋_GB2312" w:eastAsia="仿宋_GB2312" w:cs="仿宋_GB2312"/>
          <w:sz w:val="32"/>
          <w:szCs w:val="36"/>
        </w:rPr>
        <w:t>（二）政策性合作子基金主要投向</w:t>
      </w:r>
      <w:r>
        <w:rPr>
          <w:rFonts w:hint="eastAsia" w:ascii="仿宋_GB2312" w:hAnsi="仿宋_GB2312" w:eastAsia="仿宋_GB2312" w:cs="仿宋_GB2312"/>
          <w:sz w:val="32"/>
          <w:szCs w:val="36"/>
          <w:lang w:eastAsia="zh-CN"/>
        </w:rPr>
        <w:t>创新创业</w:t>
      </w:r>
      <w:r>
        <w:rPr>
          <w:rFonts w:hint="eastAsia" w:ascii="仿宋_GB2312" w:hAnsi="仿宋_GB2312" w:eastAsia="仿宋_GB2312" w:cs="仿宋_GB2312"/>
          <w:sz w:val="32"/>
          <w:szCs w:val="36"/>
        </w:rPr>
        <w:t>领域的种子期、初创期等创业早期企业</w:t>
      </w:r>
      <w:r>
        <w:rPr>
          <w:rFonts w:hint="eastAsia" w:ascii="仿宋_GB2312" w:hAnsi="仿宋_GB2312" w:eastAsia="仿宋_GB2312" w:cs="仿宋_GB2312"/>
          <w:sz w:val="32"/>
          <w:szCs w:val="36"/>
          <w:lang w:eastAsia="zh-CN"/>
        </w:rPr>
        <w:t>和项目</w:t>
      </w:r>
      <w:r>
        <w:rPr>
          <w:rFonts w:hint="eastAsia" w:ascii="仿宋_GB2312" w:hAnsi="仿宋_GB2312" w:eastAsia="仿宋_GB2312" w:cs="仿宋_GB2312"/>
          <w:sz w:val="32"/>
          <w:szCs w:val="36"/>
        </w:rPr>
        <w:t>，具体包括：</w:t>
      </w:r>
    </w:p>
    <w:p>
      <w:pPr>
        <w:keepNext w:val="0"/>
        <w:keepLines w:val="0"/>
        <w:pageBreakBefore w:val="0"/>
        <w:kinsoku/>
        <w:wordWrap/>
        <w:overflowPunct/>
        <w:autoSpaceDE/>
        <w:autoSpaceDN/>
        <w:bidi w:val="0"/>
        <w:spacing w:line="540" w:lineRule="exact"/>
        <w:ind w:right="0" w:rightChars="0" w:firstLine="640"/>
        <w:textAlignment w:val="auto"/>
        <w:rPr>
          <w:rStyle w:val="16"/>
          <w:rFonts w:eastAsia="仿宋"/>
        </w:rPr>
      </w:pPr>
      <w:r>
        <w:rPr>
          <w:rFonts w:hint="eastAsia" w:ascii="仿宋" w:hAnsi="仿宋" w:eastAsia="仿宋" w:cs="仿宋_GB2312"/>
          <w:sz w:val="32"/>
          <w:szCs w:val="36"/>
        </w:rPr>
        <w:t>1.</w:t>
      </w:r>
      <w:r>
        <w:rPr>
          <w:rFonts w:hint="eastAsia" w:ascii="仿宋" w:hAnsi="仿宋" w:eastAsia="仿宋" w:cs="仿宋_GB2312"/>
          <w:sz w:val="32"/>
          <w:szCs w:val="36"/>
          <w:lang w:eastAsia="zh-CN"/>
        </w:rPr>
        <w:t>国家、</w:t>
      </w:r>
      <w:r>
        <w:rPr>
          <w:rStyle w:val="16"/>
          <w:rFonts w:eastAsia="仿宋"/>
        </w:rPr>
        <w:t>省</w:t>
      </w:r>
      <w:r>
        <w:rPr>
          <w:rStyle w:val="16"/>
          <w:rFonts w:hint="eastAsia" w:eastAsia="仿宋"/>
          <w:lang w:eastAsia="zh-CN"/>
        </w:rPr>
        <w:t>、</w:t>
      </w:r>
      <w:r>
        <w:rPr>
          <w:rStyle w:val="16"/>
          <w:rFonts w:eastAsia="仿宋"/>
        </w:rPr>
        <w:t>市创新</w:t>
      </w:r>
      <w:r>
        <w:rPr>
          <w:rStyle w:val="16"/>
          <w:rFonts w:hint="eastAsia" w:eastAsia="仿宋"/>
          <w:lang w:eastAsia="zh-CN"/>
        </w:rPr>
        <w:t>创业</w:t>
      </w:r>
      <w:r>
        <w:rPr>
          <w:rStyle w:val="16"/>
          <w:rFonts w:eastAsia="仿宋"/>
        </w:rPr>
        <w:t>团队</w:t>
      </w:r>
      <w:r>
        <w:rPr>
          <w:rStyle w:val="16"/>
          <w:rFonts w:hint="eastAsia" w:eastAsia="仿宋"/>
        </w:rPr>
        <w:t>、</w:t>
      </w:r>
      <w:r>
        <w:rPr>
          <w:rStyle w:val="16"/>
          <w:rFonts w:eastAsia="仿宋"/>
        </w:rPr>
        <w:t>创新创业领军人才</w:t>
      </w:r>
      <w:r>
        <w:rPr>
          <w:rStyle w:val="16"/>
          <w:rFonts w:hint="eastAsia" w:eastAsia="仿宋"/>
        </w:rPr>
        <w:t>项目；</w:t>
      </w:r>
    </w:p>
    <w:p>
      <w:pPr>
        <w:keepNext w:val="0"/>
        <w:keepLines w:val="0"/>
        <w:pageBreakBefore w:val="0"/>
        <w:kinsoku/>
        <w:wordWrap/>
        <w:overflowPunct/>
        <w:autoSpaceDE/>
        <w:autoSpaceDN/>
        <w:bidi w:val="0"/>
        <w:spacing w:line="540" w:lineRule="exact"/>
        <w:ind w:right="0" w:rightChars="0" w:firstLine="640"/>
        <w:textAlignment w:val="auto"/>
        <w:rPr>
          <w:rFonts w:ascii="仿宋" w:hAnsi="仿宋" w:eastAsia="仿宋" w:cs="仿宋_GB2312"/>
          <w:sz w:val="32"/>
          <w:szCs w:val="36"/>
        </w:rPr>
      </w:pPr>
      <w:r>
        <w:rPr>
          <w:rStyle w:val="16"/>
          <w:rFonts w:hint="eastAsia" w:eastAsia="仿宋"/>
        </w:rPr>
        <w:t>2.国家、省和</w:t>
      </w:r>
      <w:r>
        <w:rPr>
          <w:rStyle w:val="16"/>
          <w:rFonts w:eastAsia="仿宋"/>
        </w:rPr>
        <w:t>市创新创业大赛获奖的企业和项目</w:t>
      </w:r>
      <w:r>
        <w:rPr>
          <w:rFonts w:hint="eastAsia" w:ascii="仿宋" w:hAnsi="仿宋" w:eastAsia="仿宋" w:cs="仿宋_GB2312"/>
          <w:sz w:val="32"/>
          <w:szCs w:val="36"/>
        </w:rPr>
        <w:t>；</w:t>
      </w:r>
    </w:p>
    <w:p>
      <w:pPr>
        <w:keepNext w:val="0"/>
        <w:keepLines w:val="0"/>
        <w:pageBreakBefore w:val="0"/>
        <w:kinsoku/>
        <w:wordWrap/>
        <w:overflowPunct/>
        <w:autoSpaceDE/>
        <w:autoSpaceDN/>
        <w:bidi w:val="0"/>
        <w:spacing w:line="540" w:lineRule="exact"/>
        <w:ind w:right="0" w:rightChars="0" w:firstLine="640"/>
        <w:textAlignment w:val="auto"/>
        <w:rPr>
          <w:rFonts w:hint="eastAsia" w:ascii="仿宋" w:hAnsi="仿宋" w:eastAsia="仿宋" w:cs="仿宋_GB2312"/>
          <w:sz w:val="32"/>
          <w:szCs w:val="36"/>
        </w:rPr>
      </w:pPr>
      <w:r>
        <w:rPr>
          <w:rFonts w:hint="eastAsia" w:ascii="仿宋" w:hAnsi="仿宋" w:eastAsia="仿宋" w:cs="仿宋_GB2312"/>
          <w:sz w:val="32"/>
          <w:szCs w:val="36"/>
        </w:rPr>
        <w:t>3.</w:t>
      </w:r>
      <w:r>
        <w:rPr>
          <w:rFonts w:hint="eastAsia" w:ascii="仿宋" w:hAnsi="仿宋" w:eastAsia="仿宋" w:cs="仿宋_GB2312"/>
          <w:sz w:val="32"/>
          <w:szCs w:val="36"/>
          <w:lang w:eastAsia="zh-CN"/>
        </w:rPr>
        <w:t>国家、省和市重大关键核心技术攻关项目；</w:t>
      </w:r>
    </w:p>
    <w:p>
      <w:pPr>
        <w:keepNext w:val="0"/>
        <w:keepLines w:val="0"/>
        <w:pageBreakBefore w:val="0"/>
        <w:kinsoku/>
        <w:wordWrap/>
        <w:overflowPunct/>
        <w:autoSpaceDE/>
        <w:autoSpaceDN/>
        <w:bidi w:val="0"/>
        <w:spacing w:line="540" w:lineRule="exact"/>
        <w:ind w:right="0" w:rightChars="0" w:firstLine="640"/>
        <w:textAlignment w:val="auto"/>
        <w:rPr>
          <w:rFonts w:ascii="仿宋" w:hAnsi="仿宋" w:eastAsia="仿宋" w:cs="仿宋_GB2312"/>
          <w:sz w:val="32"/>
          <w:szCs w:val="36"/>
        </w:rPr>
      </w:pPr>
      <w:r>
        <w:rPr>
          <w:rFonts w:hint="eastAsia" w:ascii="仿宋" w:hAnsi="仿宋" w:eastAsia="仿宋" w:cs="仿宋_GB2312"/>
          <w:sz w:val="32"/>
          <w:szCs w:val="36"/>
          <w:lang w:val="en-US" w:eastAsia="zh-CN"/>
        </w:rPr>
        <w:t>4.</w:t>
      </w:r>
      <w:r>
        <w:rPr>
          <w:rFonts w:hint="eastAsia" w:ascii="仿宋" w:hAnsi="仿宋" w:eastAsia="仿宋" w:cs="仿宋_GB2312"/>
          <w:sz w:val="32"/>
          <w:szCs w:val="36"/>
        </w:rPr>
        <w:t>科研成果转移转化项目；</w:t>
      </w:r>
    </w:p>
    <w:p>
      <w:pPr>
        <w:keepNext w:val="0"/>
        <w:keepLines w:val="0"/>
        <w:pageBreakBefore w:val="0"/>
        <w:kinsoku/>
        <w:wordWrap/>
        <w:overflowPunct/>
        <w:autoSpaceDE/>
        <w:autoSpaceDN/>
        <w:bidi w:val="0"/>
        <w:spacing w:line="540" w:lineRule="exact"/>
        <w:ind w:right="0" w:rightChars="0" w:firstLine="640"/>
        <w:textAlignment w:val="auto"/>
        <w:rPr>
          <w:rFonts w:ascii="仿宋" w:hAnsi="仿宋" w:eastAsia="仿宋" w:cs="仿宋_GB2312"/>
          <w:sz w:val="32"/>
          <w:szCs w:val="36"/>
        </w:rPr>
      </w:pPr>
      <w:r>
        <w:rPr>
          <w:rFonts w:hint="eastAsia" w:ascii="仿宋" w:hAnsi="仿宋" w:eastAsia="仿宋" w:cs="仿宋_GB2312"/>
          <w:sz w:val="32"/>
          <w:szCs w:val="36"/>
          <w:lang w:val="en-US" w:eastAsia="zh-CN"/>
        </w:rPr>
        <w:t>5</w:t>
      </w:r>
      <w:r>
        <w:rPr>
          <w:rFonts w:hint="eastAsia" w:ascii="仿宋" w:hAnsi="仿宋" w:eastAsia="仿宋" w:cs="仿宋_GB2312"/>
          <w:sz w:val="32"/>
          <w:szCs w:val="36"/>
        </w:rPr>
        <w:t>.重</w:t>
      </w:r>
      <w:r>
        <w:rPr>
          <w:rFonts w:hint="eastAsia" w:ascii="仿宋" w:hAnsi="仿宋" w:eastAsia="仿宋" w:cs="仿宋_GB2312"/>
          <w:sz w:val="32"/>
          <w:szCs w:val="36"/>
          <w:lang w:eastAsia="zh-CN"/>
        </w:rPr>
        <w:t>点</w:t>
      </w:r>
      <w:r>
        <w:rPr>
          <w:rFonts w:hint="eastAsia" w:ascii="仿宋" w:hAnsi="仿宋" w:eastAsia="仿宋" w:cs="仿宋_GB2312"/>
          <w:sz w:val="32"/>
          <w:szCs w:val="36"/>
        </w:rPr>
        <w:t>创新平台、新型研发机构</w:t>
      </w:r>
      <w:r>
        <w:rPr>
          <w:rFonts w:hint="eastAsia" w:ascii="仿宋" w:hAnsi="仿宋" w:eastAsia="仿宋" w:cs="仿宋_GB2312"/>
          <w:sz w:val="32"/>
          <w:szCs w:val="36"/>
          <w:lang w:eastAsia="zh-CN"/>
        </w:rPr>
        <w:t>、孵化器</w:t>
      </w:r>
      <w:r>
        <w:rPr>
          <w:rFonts w:hint="eastAsia" w:ascii="仿宋" w:hAnsi="仿宋" w:eastAsia="仿宋" w:cs="仿宋_GB2312"/>
          <w:sz w:val="32"/>
          <w:szCs w:val="36"/>
        </w:rPr>
        <w:t>等载体建设；</w:t>
      </w:r>
    </w:p>
    <w:p>
      <w:pPr>
        <w:keepNext w:val="0"/>
        <w:keepLines w:val="0"/>
        <w:pageBreakBefore w:val="0"/>
        <w:kinsoku/>
        <w:wordWrap/>
        <w:overflowPunct/>
        <w:autoSpaceDE/>
        <w:autoSpaceDN/>
        <w:bidi w:val="0"/>
        <w:spacing w:line="540" w:lineRule="exact"/>
        <w:ind w:right="0" w:rightChars="0" w:firstLine="640"/>
        <w:textAlignment w:val="auto"/>
        <w:rPr>
          <w:rFonts w:ascii="仿宋_GB2312" w:hAnsi="仿宋_GB2312" w:eastAsia="仿宋_GB2312" w:cs="仿宋_GB2312"/>
          <w:sz w:val="32"/>
          <w:szCs w:val="36"/>
        </w:rPr>
      </w:pPr>
      <w:r>
        <w:rPr>
          <w:rFonts w:hint="eastAsia" w:ascii="仿宋" w:hAnsi="仿宋" w:eastAsia="仿宋" w:cs="仿宋_GB2312"/>
          <w:sz w:val="32"/>
          <w:szCs w:val="36"/>
          <w:lang w:val="en-US" w:eastAsia="zh-CN"/>
        </w:rPr>
        <w:t>6</w:t>
      </w:r>
      <w:r>
        <w:rPr>
          <w:rFonts w:hint="eastAsia" w:ascii="仿宋" w:hAnsi="仿宋" w:eastAsia="仿宋" w:cs="仿宋_GB2312"/>
          <w:sz w:val="32"/>
          <w:szCs w:val="36"/>
        </w:rPr>
        <w:t>.</w:t>
      </w:r>
      <w:r>
        <w:rPr>
          <w:rFonts w:hint="eastAsia" w:ascii="仿宋_GB2312" w:hAnsi="仿宋_GB2312" w:eastAsia="仿宋_GB2312" w:cs="仿宋_GB2312"/>
          <w:sz w:val="32"/>
          <w:szCs w:val="36"/>
        </w:rPr>
        <w:t>落实市委、市政府重</w:t>
      </w:r>
      <w:r>
        <w:rPr>
          <w:rFonts w:hint="eastAsia" w:ascii="仿宋_GB2312" w:hAnsi="仿宋_GB2312" w:eastAsia="仿宋_GB2312" w:cs="仿宋_GB2312"/>
          <w:sz w:val="32"/>
          <w:szCs w:val="36"/>
          <w:lang w:eastAsia="zh-CN"/>
        </w:rPr>
        <w:t>要</w:t>
      </w:r>
      <w:r>
        <w:rPr>
          <w:rFonts w:hint="eastAsia" w:ascii="仿宋_GB2312" w:hAnsi="仿宋_GB2312" w:eastAsia="仿宋_GB2312" w:cs="仿宋_GB2312"/>
          <w:sz w:val="32"/>
          <w:szCs w:val="36"/>
        </w:rPr>
        <w:t>部署的</w:t>
      </w:r>
      <w:r>
        <w:rPr>
          <w:rFonts w:hint="eastAsia" w:ascii="仿宋_GB2312" w:hAnsi="仿宋_GB2312" w:eastAsia="仿宋_GB2312" w:cs="仿宋_GB2312"/>
          <w:sz w:val="32"/>
          <w:szCs w:val="36"/>
          <w:lang w:eastAsia="zh-CN"/>
        </w:rPr>
        <w:t>创新创业领域</w:t>
      </w:r>
      <w:r>
        <w:rPr>
          <w:rFonts w:hint="eastAsia" w:ascii="仿宋_GB2312" w:hAnsi="仿宋_GB2312" w:eastAsia="仿宋_GB2312" w:cs="仿宋_GB2312"/>
          <w:sz w:val="32"/>
          <w:szCs w:val="36"/>
        </w:rPr>
        <w:t>其他项目。</w:t>
      </w:r>
    </w:p>
    <w:p>
      <w:pPr>
        <w:keepNext w:val="0"/>
        <w:keepLines w:val="0"/>
        <w:pageBreakBefore w:val="0"/>
        <w:kinsoku/>
        <w:wordWrap/>
        <w:overflowPunct/>
        <w:autoSpaceDE/>
        <w:autoSpaceDN/>
        <w:bidi w:val="0"/>
        <w:spacing w:line="540" w:lineRule="exact"/>
        <w:ind w:right="0" w:rightChars="0" w:firstLine="640"/>
        <w:textAlignment w:val="auto"/>
        <w:rPr>
          <w:rFonts w:ascii="仿宋_GB2312" w:hAnsi="仿宋_GB2312" w:eastAsia="仿宋_GB2312" w:cs="仿宋_GB2312"/>
          <w:sz w:val="32"/>
          <w:szCs w:val="36"/>
        </w:rPr>
      </w:pPr>
      <w:r>
        <w:rPr>
          <w:rFonts w:hint="eastAsia" w:ascii="楷体" w:hAnsi="楷体" w:eastAsia="楷体" w:cs="楷体"/>
          <w:sz w:val="28"/>
          <w:szCs w:val="28"/>
        </w:rPr>
        <w:t>【编制说明】对政府投资基金子基金的投资方向要求</w:t>
      </w:r>
    </w:p>
    <w:p>
      <w:pPr>
        <w:pStyle w:val="15"/>
        <w:keepNext w:val="0"/>
        <w:keepLines w:val="0"/>
        <w:pageBreakBefore w:val="0"/>
        <w:shd w:val="clear" w:color="auto" w:fill="FDFDFD"/>
        <w:kinsoku/>
        <w:wordWrap/>
        <w:overflowPunct/>
        <w:autoSpaceDE/>
        <w:autoSpaceDN/>
        <w:bidi w:val="0"/>
        <w:snapToGrid w:val="0"/>
        <w:spacing w:line="540" w:lineRule="exact"/>
        <w:ind w:right="0" w:rightChars="0" w:firstLine="630" w:firstLineChars="196"/>
        <w:textAlignment w:val="auto"/>
        <w:rPr>
          <w:rFonts w:ascii="仿宋_GB2312" w:eastAsia="仿宋_GB2312"/>
          <w:sz w:val="32"/>
          <w:szCs w:val="32"/>
        </w:rPr>
      </w:pPr>
      <w:r>
        <w:rPr>
          <w:rFonts w:hint="eastAsia"/>
          <w:b/>
          <w:sz w:val="32"/>
          <w:szCs w:val="32"/>
        </w:rPr>
        <w:t xml:space="preserve">第十四条 </w:t>
      </w:r>
      <w:r>
        <w:rPr>
          <w:rFonts w:hint="eastAsia"/>
        </w:rPr>
        <w:t xml:space="preserve">  </w:t>
      </w:r>
      <w:r>
        <w:rPr>
          <w:rFonts w:hint="eastAsia" w:ascii="仿宋_GB2312" w:eastAsia="仿宋_GB2312"/>
          <w:sz w:val="32"/>
          <w:szCs w:val="32"/>
        </w:rPr>
        <w:t>合作子基金的管理机构通过公开竞争方式选聘。申报机构可直接作为子基金的基金管理人，也可指定或新设符合条件的关联企业（申报机构持有30%以上）作为子基金的基金管理人。在采用有限合伙制形式下，基金管理人为子基金的普通合伙人（GP）；在采用公司制形式下，基金管理人为有限责任公司承担管理职责的股东。</w:t>
      </w:r>
    </w:p>
    <w:p>
      <w:pPr>
        <w:pStyle w:val="15"/>
        <w:keepNext w:val="0"/>
        <w:keepLines w:val="0"/>
        <w:pageBreakBefore w:val="0"/>
        <w:shd w:val="clear" w:color="auto" w:fill="FDFDFD"/>
        <w:kinsoku/>
        <w:wordWrap/>
        <w:overflowPunct/>
        <w:autoSpaceDE/>
        <w:autoSpaceDN/>
        <w:bidi w:val="0"/>
        <w:snapToGrid w:val="0"/>
        <w:spacing w:line="540" w:lineRule="exact"/>
        <w:ind w:right="0" w:rightChars="0" w:firstLine="627" w:firstLineChars="196"/>
        <w:textAlignment w:val="auto"/>
        <w:rPr>
          <w:rFonts w:ascii="仿宋_GB2312" w:eastAsia="仿宋_GB2312"/>
          <w:sz w:val="32"/>
          <w:szCs w:val="32"/>
        </w:rPr>
      </w:pPr>
      <w:r>
        <w:rPr>
          <w:rFonts w:hint="eastAsia" w:ascii="仿宋_GB2312" w:eastAsia="仿宋_GB2312"/>
          <w:sz w:val="32"/>
          <w:szCs w:val="32"/>
        </w:rPr>
        <w:t>（一）市场化合作子基金的基金管理人须符合以下条件：</w:t>
      </w:r>
    </w:p>
    <w:p>
      <w:pPr>
        <w:keepNext w:val="0"/>
        <w:keepLines w:val="0"/>
        <w:pageBreakBefore w:val="0"/>
        <w:kinsoku/>
        <w:wordWrap/>
        <w:overflowPunct/>
        <w:autoSpaceDE/>
        <w:autoSpaceDN/>
        <w:bidi w:val="0"/>
        <w:adjustRightInd w:val="0"/>
        <w:snapToGrid w:val="0"/>
        <w:spacing w:line="540" w:lineRule="exact"/>
        <w:ind w:right="0" w:rightChars="0" w:firstLine="640" w:firstLineChars="200"/>
        <w:textAlignment w:val="auto"/>
        <w:rPr>
          <w:rFonts w:ascii="仿宋_GB2312" w:eastAsia="仿宋_GB2312"/>
          <w:sz w:val="32"/>
          <w:szCs w:val="32"/>
        </w:rPr>
      </w:pPr>
      <w:r>
        <w:rPr>
          <w:rFonts w:hint="eastAsia" w:ascii="仿宋_GB2312" w:eastAsia="仿宋_GB2312"/>
          <w:sz w:val="32"/>
          <w:szCs w:val="32"/>
        </w:rPr>
        <w:t>1.原则上必须是国际或国内领先的基金管理机构（包括上市公司、上市公司控股股东或证券公司等），其管理的其他基金至少有2个通过IPO或并购等其他方式成功退出的案例，或在设定的子基金投资方向有1个IPO或并购等其他方式成功退出的案例；</w:t>
      </w:r>
    </w:p>
    <w:p>
      <w:pPr>
        <w:keepNext w:val="0"/>
        <w:keepLines w:val="0"/>
        <w:pageBreakBefore w:val="0"/>
        <w:kinsoku/>
        <w:wordWrap/>
        <w:overflowPunct/>
        <w:autoSpaceDE/>
        <w:autoSpaceDN/>
        <w:bidi w:val="0"/>
        <w:adjustRightInd w:val="0"/>
        <w:snapToGrid w:val="0"/>
        <w:spacing w:line="540" w:lineRule="exact"/>
        <w:ind w:right="0" w:rightChars="0" w:firstLine="640" w:firstLineChars="200"/>
        <w:textAlignment w:val="auto"/>
        <w:rPr>
          <w:rFonts w:ascii="仿宋_GB2312" w:hAnsi="仿宋_GB2312" w:eastAsia="仿宋_GB2312" w:cs="仿宋_GB2312"/>
          <w:sz w:val="32"/>
          <w:szCs w:val="36"/>
        </w:rPr>
      </w:pPr>
      <w:r>
        <w:rPr>
          <w:rFonts w:hint="eastAsia" w:ascii="仿宋_GB2312" w:eastAsia="仿宋_GB2312"/>
          <w:sz w:val="32"/>
          <w:szCs w:val="32"/>
        </w:rPr>
        <w:t>2.</w:t>
      </w:r>
      <w:r>
        <w:rPr>
          <w:rFonts w:hint="eastAsia" w:ascii="仿宋_GB2312" w:hAnsi="仿宋_GB2312" w:eastAsia="仿宋_GB2312" w:cs="仿宋_GB2312"/>
          <w:sz w:val="32"/>
          <w:szCs w:val="36"/>
        </w:rPr>
        <w:t>在中国大陆注册，具有独立法人资格，注册资本不低于1</w:t>
      </w:r>
      <w:r>
        <w:rPr>
          <w:rFonts w:ascii="仿宋_GB2312" w:hAnsi="仿宋_GB2312" w:eastAsia="仿宋_GB2312" w:cs="仿宋_GB2312"/>
          <w:sz w:val="32"/>
          <w:szCs w:val="36"/>
        </w:rPr>
        <w:t>000</w:t>
      </w:r>
      <w:r>
        <w:rPr>
          <w:rFonts w:hint="eastAsia" w:ascii="仿宋_GB2312" w:hAnsi="仿宋_GB2312" w:eastAsia="仿宋_GB2312" w:cs="仿宋_GB2312"/>
          <w:sz w:val="32"/>
          <w:szCs w:val="36"/>
        </w:rPr>
        <w:t>万元人民币；有成功管理5亿元以上基金的案例，有固定的营业场所和与其业务相适应的软硬件设施，具备丰富的投资管理经验和良好的管理业绩，健全的创业投资管理和风险控制流程，规范的项目遴选机制和投资决策机制，能够为被投资企业提供增值服务；</w:t>
      </w:r>
    </w:p>
    <w:p>
      <w:pPr>
        <w:keepNext w:val="0"/>
        <w:keepLines w:val="0"/>
        <w:pageBreakBefore w:val="0"/>
        <w:kinsoku/>
        <w:wordWrap/>
        <w:overflowPunct/>
        <w:autoSpaceDE/>
        <w:autoSpaceDN/>
        <w:bidi w:val="0"/>
        <w:spacing w:line="540" w:lineRule="exact"/>
        <w:ind w:right="0" w:rightChars="0" w:firstLine="640" w:firstLineChars="200"/>
        <w:textAlignment w:val="auto"/>
        <w:rPr>
          <w:rFonts w:ascii="仿宋_GB2312" w:eastAsia="仿宋_GB2312"/>
          <w:sz w:val="32"/>
          <w:szCs w:val="32"/>
        </w:rPr>
      </w:pPr>
      <w:r>
        <w:rPr>
          <w:rFonts w:hint="eastAsia" w:ascii="仿宋_GB2312" w:eastAsia="仿宋_GB2312"/>
          <w:sz w:val="32"/>
          <w:szCs w:val="32"/>
        </w:rPr>
        <w:t>3.至少有5名具备10年以上创业投资或基金管理工作经验且具备基金从业资格的高级管理人员；至少有5个以上创业企业投资的成功案例；</w:t>
      </w:r>
    </w:p>
    <w:p>
      <w:pPr>
        <w:keepNext w:val="0"/>
        <w:keepLines w:val="0"/>
        <w:pageBreakBefore w:val="0"/>
        <w:kinsoku/>
        <w:wordWrap/>
        <w:overflowPunct/>
        <w:autoSpaceDE/>
        <w:autoSpaceDN/>
        <w:bidi w:val="0"/>
        <w:spacing w:line="540" w:lineRule="exact"/>
        <w:ind w:right="0" w:rightChars="0" w:firstLine="640" w:firstLineChars="200"/>
        <w:textAlignment w:val="auto"/>
        <w:rPr>
          <w:rFonts w:ascii="仿宋_GB2312" w:eastAsia="仿宋_GB2312"/>
          <w:sz w:val="32"/>
          <w:szCs w:val="32"/>
        </w:rPr>
      </w:pPr>
      <w:r>
        <w:rPr>
          <w:rFonts w:hint="eastAsia" w:ascii="仿宋_GB2312" w:eastAsia="仿宋_GB2312"/>
          <w:sz w:val="32"/>
          <w:szCs w:val="32"/>
        </w:rPr>
        <w:t>4</w:t>
      </w:r>
      <w:r>
        <w:rPr>
          <w:rFonts w:ascii="仿宋_GB2312" w:eastAsia="仿宋_GB2312"/>
          <w:sz w:val="32"/>
          <w:szCs w:val="32"/>
        </w:rPr>
        <w:t>.</w:t>
      </w:r>
      <w:r>
        <w:rPr>
          <w:rFonts w:hint="eastAsia" w:ascii="仿宋_GB2312" w:eastAsia="仿宋_GB2312"/>
          <w:sz w:val="32"/>
          <w:szCs w:val="32"/>
        </w:rPr>
        <w:t>申报机构及其董事、监事、高级管理人员在最近3年无重大违法行为，没有受过行政主管机关或司法机关重大处罚的不良记录，保持良好的财务状况；</w:t>
      </w:r>
    </w:p>
    <w:p>
      <w:pPr>
        <w:keepNext w:val="0"/>
        <w:keepLines w:val="0"/>
        <w:pageBreakBefore w:val="0"/>
        <w:kinsoku/>
        <w:wordWrap/>
        <w:overflowPunct/>
        <w:autoSpaceDE/>
        <w:autoSpaceDN/>
        <w:bidi w:val="0"/>
        <w:adjustRightInd w:val="0"/>
        <w:snapToGrid w:val="0"/>
        <w:spacing w:line="540" w:lineRule="exact"/>
        <w:ind w:right="0" w:rightChars="0" w:firstLine="640" w:firstLineChars="200"/>
        <w:textAlignment w:val="auto"/>
        <w:rPr>
          <w:rFonts w:ascii="仿宋_GB2312" w:eastAsia="仿宋_GB2312"/>
          <w:sz w:val="32"/>
          <w:szCs w:val="32"/>
        </w:rPr>
      </w:pPr>
      <w:r>
        <w:rPr>
          <w:rFonts w:hint="eastAsia" w:ascii="仿宋_GB2312" w:eastAsia="仿宋_GB2312"/>
          <w:sz w:val="32"/>
          <w:szCs w:val="32"/>
        </w:rPr>
        <w:t>5</w:t>
      </w:r>
      <w:r>
        <w:rPr>
          <w:rFonts w:ascii="仿宋_GB2312" w:eastAsia="仿宋_GB2312"/>
          <w:sz w:val="32"/>
          <w:szCs w:val="32"/>
        </w:rPr>
        <w:t>.</w:t>
      </w:r>
      <w:r>
        <w:rPr>
          <w:rFonts w:hint="eastAsia" w:ascii="仿宋_GB2312" w:eastAsia="仿宋_GB2312"/>
          <w:sz w:val="32"/>
          <w:szCs w:val="32"/>
        </w:rPr>
        <w:t>应参股子基金或认缴子基金份额，且出资额不低于子基金总额的1%。</w:t>
      </w:r>
    </w:p>
    <w:p>
      <w:pPr>
        <w:pStyle w:val="15"/>
        <w:keepNext w:val="0"/>
        <w:keepLines w:val="0"/>
        <w:pageBreakBefore w:val="0"/>
        <w:shd w:val="clear" w:color="auto" w:fill="FDFDFD"/>
        <w:kinsoku/>
        <w:wordWrap/>
        <w:overflowPunct/>
        <w:autoSpaceDE/>
        <w:autoSpaceDN/>
        <w:bidi w:val="0"/>
        <w:snapToGrid w:val="0"/>
        <w:spacing w:line="540" w:lineRule="exact"/>
        <w:ind w:right="0" w:rightChars="0" w:firstLine="627" w:firstLineChars="196"/>
        <w:textAlignment w:val="auto"/>
        <w:rPr>
          <w:rFonts w:ascii="仿宋_GB2312" w:eastAsia="仿宋_GB2312"/>
          <w:sz w:val="32"/>
          <w:szCs w:val="32"/>
        </w:rPr>
      </w:pPr>
      <w:r>
        <w:rPr>
          <w:rFonts w:hint="eastAsia" w:ascii="仿宋_GB2312" w:eastAsia="仿宋_GB2312"/>
          <w:sz w:val="32"/>
          <w:szCs w:val="32"/>
        </w:rPr>
        <w:t>（二）政策性合作子基金的基金管理人须符合以下条件：</w:t>
      </w:r>
    </w:p>
    <w:p>
      <w:pPr>
        <w:keepNext w:val="0"/>
        <w:keepLines w:val="0"/>
        <w:pageBreakBefore w:val="0"/>
        <w:kinsoku/>
        <w:wordWrap/>
        <w:overflowPunct/>
        <w:autoSpaceDE/>
        <w:autoSpaceDN/>
        <w:bidi w:val="0"/>
        <w:adjustRightInd w:val="0"/>
        <w:snapToGrid w:val="0"/>
        <w:spacing w:line="540" w:lineRule="exact"/>
        <w:ind w:right="0" w:rightChars="0" w:firstLine="640" w:firstLineChars="200"/>
        <w:textAlignment w:val="auto"/>
        <w:rPr>
          <w:rFonts w:ascii="仿宋_GB2312" w:eastAsia="仿宋_GB2312"/>
          <w:sz w:val="32"/>
          <w:szCs w:val="32"/>
        </w:rPr>
      </w:pPr>
      <w:r>
        <w:rPr>
          <w:rFonts w:hint="eastAsia" w:ascii="仿宋_GB2312" w:eastAsia="仿宋_GB2312"/>
          <w:sz w:val="32"/>
          <w:szCs w:val="32"/>
        </w:rPr>
        <w:t>1.在中国大陆依法设立，具有独立法人资格，注册资本不低于</w:t>
      </w:r>
      <w:r>
        <w:rPr>
          <w:rFonts w:ascii="仿宋_GB2312" w:eastAsia="仿宋_GB2312"/>
          <w:sz w:val="32"/>
          <w:szCs w:val="32"/>
        </w:rPr>
        <w:t>10</w:t>
      </w:r>
      <w:r>
        <w:rPr>
          <w:rFonts w:hint="eastAsia" w:ascii="仿宋_GB2312" w:eastAsia="仿宋_GB2312"/>
          <w:sz w:val="32"/>
          <w:szCs w:val="32"/>
        </w:rPr>
        <w:t>00万元人民币，且均以货币形式实缴出资或其基金管理规模在人民币1亿元以上；</w:t>
      </w:r>
    </w:p>
    <w:p>
      <w:pPr>
        <w:keepNext w:val="0"/>
        <w:keepLines w:val="0"/>
        <w:pageBreakBefore w:val="0"/>
        <w:kinsoku/>
        <w:wordWrap/>
        <w:overflowPunct/>
        <w:autoSpaceDE/>
        <w:autoSpaceDN/>
        <w:bidi w:val="0"/>
        <w:spacing w:line="540" w:lineRule="exact"/>
        <w:ind w:right="0" w:rightChars="0" w:firstLine="640" w:firstLineChars="200"/>
        <w:textAlignment w:val="auto"/>
        <w:rPr>
          <w:rFonts w:ascii="仿宋_GB2312" w:eastAsia="仿宋_GB2312"/>
          <w:sz w:val="32"/>
          <w:szCs w:val="32"/>
        </w:rPr>
      </w:pPr>
      <w:r>
        <w:rPr>
          <w:rFonts w:hint="eastAsia" w:ascii="仿宋_GB2312" w:eastAsia="仿宋_GB2312"/>
          <w:sz w:val="32"/>
          <w:szCs w:val="32"/>
        </w:rPr>
        <w:t>2.主要负责人具备丰富基金管理运作经验，并已取得良好的管理业绩，且至少有3名以上具备3年以上创业投资或基金管理工作经验且具备基金从业资格的高级管理人员；</w:t>
      </w:r>
    </w:p>
    <w:p>
      <w:pPr>
        <w:keepNext w:val="0"/>
        <w:keepLines w:val="0"/>
        <w:pageBreakBefore w:val="0"/>
        <w:kinsoku/>
        <w:wordWrap/>
        <w:overflowPunct/>
        <w:autoSpaceDE/>
        <w:autoSpaceDN/>
        <w:bidi w:val="0"/>
        <w:adjustRightInd w:val="0"/>
        <w:snapToGrid w:val="0"/>
        <w:spacing w:line="540" w:lineRule="exact"/>
        <w:ind w:right="0" w:rightChars="0" w:firstLine="640" w:firstLineChars="200"/>
        <w:textAlignment w:val="auto"/>
        <w:rPr>
          <w:rFonts w:ascii="仿宋_GB2312" w:eastAsia="仿宋_GB2312"/>
          <w:sz w:val="32"/>
          <w:szCs w:val="32"/>
        </w:rPr>
      </w:pPr>
      <w:r>
        <w:rPr>
          <w:rFonts w:hint="eastAsia" w:ascii="仿宋_GB2312" w:eastAsia="仿宋_GB2312"/>
          <w:sz w:val="32"/>
          <w:szCs w:val="32"/>
        </w:rPr>
        <w:t>3</w:t>
      </w:r>
      <w:r>
        <w:rPr>
          <w:rFonts w:ascii="仿宋_GB2312" w:eastAsia="仿宋_GB2312"/>
          <w:sz w:val="32"/>
          <w:szCs w:val="32"/>
        </w:rPr>
        <w:t>.</w:t>
      </w:r>
      <w:r>
        <w:rPr>
          <w:rFonts w:hint="eastAsia" w:ascii="仿宋_GB2312" w:eastAsia="仿宋_GB2312"/>
          <w:sz w:val="32"/>
          <w:szCs w:val="32"/>
        </w:rPr>
        <w:t>有完善的投资基金管理制度，包括良好的内部治理结构和风险控制制度等；</w:t>
      </w:r>
    </w:p>
    <w:p>
      <w:pPr>
        <w:keepNext w:val="0"/>
        <w:keepLines w:val="0"/>
        <w:pageBreakBefore w:val="0"/>
        <w:kinsoku/>
        <w:wordWrap/>
        <w:overflowPunct/>
        <w:autoSpaceDE/>
        <w:autoSpaceDN/>
        <w:bidi w:val="0"/>
        <w:spacing w:line="540" w:lineRule="exact"/>
        <w:ind w:right="0" w:rightChars="0" w:firstLine="640" w:firstLineChars="200"/>
        <w:textAlignment w:val="auto"/>
        <w:rPr>
          <w:rFonts w:ascii="仿宋_GB2312" w:eastAsia="仿宋_GB2312"/>
          <w:sz w:val="32"/>
          <w:szCs w:val="32"/>
        </w:rPr>
      </w:pPr>
      <w:r>
        <w:rPr>
          <w:rFonts w:hint="eastAsia" w:ascii="仿宋_GB2312" w:eastAsia="仿宋_GB2312"/>
          <w:sz w:val="32"/>
          <w:szCs w:val="32"/>
        </w:rPr>
        <w:t>4</w:t>
      </w:r>
      <w:r>
        <w:rPr>
          <w:rFonts w:ascii="仿宋_GB2312" w:eastAsia="仿宋_GB2312"/>
          <w:sz w:val="32"/>
          <w:szCs w:val="32"/>
        </w:rPr>
        <w:t>.</w:t>
      </w:r>
      <w:r>
        <w:rPr>
          <w:rFonts w:hint="eastAsia" w:ascii="仿宋_GB2312" w:eastAsia="仿宋_GB2312"/>
          <w:sz w:val="32"/>
          <w:szCs w:val="32"/>
        </w:rPr>
        <w:t>申报机构及其董事、监事、高级管理人员在最近3年无重大违法行为，没有受过行政主管机关或司法机关重大处罚的不良记录，保持良好的财务状况；</w:t>
      </w:r>
    </w:p>
    <w:p>
      <w:pPr>
        <w:keepNext w:val="0"/>
        <w:keepLines w:val="0"/>
        <w:pageBreakBefore w:val="0"/>
        <w:kinsoku/>
        <w:wordWrap/>
        <w:overflowPunct/>
        <w:autoSpaceDE/>
        <w:autoSpaceDN/>
        <w:bidi w:val="0"/>
        <w:adjustRightInd w:val="0"/>
        <w:snapToGrid w:val="0"/>
        <w:spacing w:line="540" w:lineRule="exact"/>
        <w:ind w:right="0" w:rightChars="0" w:firstLine="640" w:firstLineChars="200"/>
        <w:textAlignment w:val="auto"/>
        <w:rPr>
          <w:rFonts w:ascii="仿宋_GB2312" w:eastAsia="仿宋_GB2312"/>
          <w:sz w:val="32"/>
          <w:szCs w:val="32"/>
        </w:rPr>
      </w:pPr>
      <w:r>
        <w:rPr>
          <w:rFonts w:hint="eastAsia" w:ascii="仿宋_GB2312" w:eastAsia="仿宋_GB2312"/>
          <w:sz w:val="32"/>
          <w:szCs w:val="32"/>
        </w:rPr>
        <w:t>5</w:t>
      </w:r>
      <w:r>
        <w:rPr>
          <w:rFonts w:ascii="仿宋_GB2312" w:eastAsia="仿宋_GB2312"/>
          <w:sz w:val="32"/>
          <w:szCs w:val="32"/>
        </w:rPr>
        <w:t>.</w:t>
      </w:r>
      <w:r>
        <w:rPr>
          <w:rFonts w:hint="eastAsia" w:ascii="仿宋_GB2312" w:eastAsia="仿宋_GB2312"/>
          <w:sz w:val="32"/>
          <w:szCs w:val="32"/>
        </w:rPr>
        <w:t>应参股子基金或认缴子基金份额，且出资额不低于子基金总额的1%。</w:t>
      </w:r>
    </w:p>
    <w:p>
      <w:pPr>
        <w:keepNext w:val="0"/>
        <w:keepLines w:val="0"/>
        <w:pageBreakBefore w:val="0"/>
        <w:kinsoku/>
        <w:wordWrap/>
        <w:overflowPunct/>
        <w:autoSpaceDE/>
        <w:autoSpaceDN/>
        <w:bidi w:val="0"/>
        <w:adjustRightInd w:val="0"/>
        <w:snapToGrid w:val="0"/>
        <w:spacing w:line="540" w:lineRule="exact"/>
        <w:ind w:right="0" w:rightChars="0" w:firstLine="560" w:firstLineChars="200"/>
        <w:textAlignment w:val="auto"/>
        <w:rPr>
          <w:rFonts w:ascii="仿宋_GB2312" w:eastAsia="仿宋_GB2312"/>
          <w:sz w:val="32"/>
          <w:szCs w:val="32"/>
        </w:rPr>
      </w:pPr>
      <w:r>
        <w:rPr>
          <w:rFonts w:hint="eastAsia" w:ascii="楷体" w:hAnsi="楷体" w:eastAsia="楷体" w:cs="楷体"/>
          <w:sz w:val="28"/>
          <w:szCs w:val="28"/>
        </w:rPr>
        <w:t>【编制说明】对政府投资基金子基金管理公司的产生方式和资格要求，参考《佛山市人民政府办公室关于印发佛山市本级政府投资基金管理实施办法的通知》（佛府办函〔2018〕996号）。</w:t>
      </w:r>
    </w:p>
    <w:p>
      <w:pPr>
        <w:keepNext w:val="0"/>
        <w:keepLines w:val="0"/>
        <w:pageBreakBefore w:val="0"/>
        <w:kinsoku/>
        <w:wordWrap/>
        <w:overflowPunct/>
        <w:autoSpaceDE/>
        <w:autoSpaceDN/>
        <w:bidi w:val="0"/>
        <w:adjustRightInd w:val="0"/>
        <w:snapToGrid w:val="0"/>
        <w:spacing w:line="540" w:lineRule="exact"/>
        <w:ind w:right="0" w:rightChars="0" w:firstLine="643" w:firstLineChars="200"/>
        <w:textAlignment w:val="auto"/>
        <w:rPr>
          <w:rFonts w:ascii="楷体_GB2312" w:hAnsi="楷体_GB2312" w:eastAsia="楷体_GB2312" w:cs="楷体_GB2312"/>
          <w:b/>
          <w:sz w:val="32"/>
          <w:szCs w:val="32"/>
          <w:lang w:bidi="ar"/>
        </w:rPr>
      </w:pPr>
      <w:r>
        <w:rPr>
          <w:rFonts w:hint="eastAsia" w:ascii="仿宋_GB2312" w:eastAsia="仿宋_GB2312"/>
          <w:b/>
          <w:bCs/>
          <w:sz w:val="32"/>
          <w:szCs w:val="32"/>
        </w:rPr>
        <w:t>第十五条</w:t>
      </w:r>
      <w:r>
        <w:rPr>
          <w:rFonts w:hint="eastAsia" w:ascii="仿宋_GB2312" w:eastAsia="仿宋_GB2312"/>
          <w:sz w:val="32"/>
          <w:szCs w:val="32"/>
        </w:rPr>
        <w:t xml:space="preserve">  合作</w:t>
      </w:r>
      <w:r>
        <w:rPr>
          <w:rFonts w:hint="eastAsia" w:ascii="仿宋_GB2312" w:eastAsia="仿宋_GB2312"/>
          <w:sz w:val="32"/>
          <w:szCs w:val="32"/>
          <w:lang w:bidi="ar"/>
        </w:rPr>
        <w:t>子基金管理机构选定流程。</w:t>
      </w:r>
    </w:p>
    <w:p>
      <w:pPr>
        <w:pStyle w:val="8"/>
        <w:keepNext w:val="0"/>
        <w:keepLines w:val="0"/>
        <w:pageBreakBefore w:val="0"/>
        <w:kinsoku/>
        <w:wordWrap/>
        <w:overflowPunct/>
        <w:autoSpaceDE/>
        <w:autoSpaceDN/>
        <w:bidi w:val="0"/>
        <w:spacing w:line="540" w:lineRule="exact"/>
        <w:ind w:right="0" w:rightChars="0" w:firstLine="640" w:firstLineChars="200"/>
        <w:textAlignment w:val="auto"/>
        <w:rPr>
          <w:rFonts w:ascii="仿宋_GB2312" w:hAnsi="仿宋_GB2312" w:eastAsia="仿宋_GB2312" w:cs="仿宋_GB2312"/>
          <w:kern w:val="2"/>
          <w:sz w:val="32"/>
          <w:szCs w:val="36"/>
        </w:rPr>
      </w:pPr>
      <w:r>
        <w:rPr>
          <w:rFonts w:hint="eastAsia" w:ascii="仿宋_GB2312" w:hAnsi="仿宋_GB2312" w:eastAsia="仿宋_GB2312" w:cs="仿宋_GB2312"/>
          <w:kern w:val="2"/>
          <w:sz w:val="32"/>
          <w:szCs w:val="36"/>
        </w:rPr>
        <w:t>（一）发布指南：通过网站、媒体等多种渠道公开征集投资基金合作机构。</w:t>
      </w:r>
    </w:p>
    <w:p>
      <w:pPr>
        <w:pStyle w:val="8"/>
        <w:keepNext w:val="0"/>
        <w:keepLines w:val="0"/>
        <w:pageBreakBefore w:val="0"/>
        <w:kinsoku/>
        <w:wordWrap/>
        <w:overflowPunct/>
        <w:autoSpaceDE/>
        <w:autoSpaceDN/>
        <w:bidi w:val="0"/>
        <w:spacing w:line="540" w:lineRule="exact"/>
        <w:ind w:left="0" w:right="0" w:rightChars="0" w:firstLine="640" w:firstLineChars="200"/>
        <w:textAlignment w:val="auto"/>
        <w:rPr>
          <w:rFonts w:ascii="仿宋_GB2312" w:hAnsi="仿宋_GB2312" w:eastAsia="仿宋_GB2312" w:cs="仿宋_GB2312"/>
          <w:kern w:val="2"/>
          <w:sz w:val="32"/>
          <w:szCs w:val="36"/>
        </w:rPr>
      </w:pPr>
      <w:r>
        <w:rPr>
          <w:rFonts w:hint="eastAsia" w:ascii="仿宋_GB2312" w:hAnsi="仿宋_GB2312" w:eastAsia="仿宋_GB2312" w:cs="仿宋_GB2312"/>
          <w:kern w:val="2"/>
          <w:sz w:val="32"/>
          <w:szCs w:val="36"/>
        </w:rPr>
        <w:t>（二）机构申报：申请合作的投资机构须向引导基金管理公司提交申请材料。</w:t>
      </w:r>
    </w:p>
    <w:p>
      <w:pPr>
        <w:pStyle w:val="8"/>
        <w:keepNext w:val="0"/>
        <w:keepLines w:val="0"/>
        <w:pageBreakBefore w:val="0"/>
        <w:kinsoku/>
        <w:wordWrap/>
        <w:overflowPunct/>
        <w:autoSpaceDE/>
        <w:autoSpaceDN/>
        <w:bidi w:val="0"/>
        <w:spacing w:line="540" w:lineRule="exact"/>
        <w:ind w:right="0" w:rightChars="0" w:firstLine="640" w:firstLineChars="200"/>
        <w:textAlignment w:val="auto"/>
        <w:rPr>
          <w:rFonts w:ascii="仿宋_GB2312" w:hAnsi="仿宋_GB2312" w:eastAsia="仿宋_GB2312" w:cs="仿宋_GB2312"/>
          <w:kern w:val="2"/>
          <w:sz w:val="32"/>
          <w:szCs w:val="36"/>
        </w:rPr>
      </w:pPr>
      <w:r>
        <w:rPr>
          <w:rFonts w:hint="eastAsia" w:ascii="仿宋_GB2312" w:hAnsi="仿宋_GB2312" w:eastAsia="仿宋_GB2312" w:cs="仿宋_GB2312"/>
          <w:kern w:val="2"/>
          <w:sz w:val="32"/>
          <w:szCs w:val="36"/>
        </w:rPr>
        <w:t>（三）投资机构选择：引导基金管理公司按照合作子基金设立要求对合作子基金管理机构进行独立尽职调查或委托第三方开展尽职调查，甄选符合条件的合作子基金管理机构，并与通过审核的申请机构签订合作协议并具体实施。</w:t>
      </w:r>
      <w:r>
        <w:rPr>
          <w:rFonts w:ascii="FangSong_GB2312" w:hAnsi="FangSong_GB2312" w:eastAsia="FangSong_GB2312" w:cs="FangSong_GB2312"/>
          <w:kern w:val="2"/>
          <w:sz w:val="32"/>
          <w:szCs w:val="32"/>
          <w:lang w:val="zh-TW" w:eastAsia="zh-TW"/>
        </w:rPr>
        <w:t>对以前成功申请佛山市创新创业产业引导基金且正常运营的子基金管理机构，如申报新的引导基金，引导基金管理公司可视情简化调查程序。</w:t>
      </w:r>
    </w:p>
    <w:p>
      <w:pPr>
        <w:pStyle w:val="8"/>
        <w:keepNext w:val="0"/>
        <w:keepLines w:val="0"/>
        <w:pageBreakBefore w:val="0"/>
        <w:kinsoku/>
        <w:wordWrap/>
        <w:overflowPunct/>
        <w:autoSpaceDE/>
        <w:autoSpaceDN/>
        <w:bidi w:val="0"/>
        <w:spacing w:line="540" w:lineRule="exact"/>
        <w:ind w:right="0" w:rightChars="0" w:firstLine="560" w:firstLineChars="200"/>
        <w:textAlignment w:val="auto"/>
        <w:rPr>
          <w:rFonts w:ascii="仿宋_GB2312" w:hAnsi="仿宋_GB2312" w:eastAsia="仿宋_GB2312" w:cs="仿宋_GB2312"/>
          <w:kern w:val="2"/>
          <w:sz w:val="32"/>
          <w:szCs w:val="36"/>
        </w:rPr>
      </w:pPr>
      <w:r>
        <w:rPr>
          <w:rFonts w:hint="eastAsia" w:ascii="楷体" w:hAnsi="楷体" w:eastAsia="楷体" w:cs="楷体"/>
          <w:sz w:val="28"/>
          <w:szCs w:val="28"/>
        </w:rPr>
        <w:t>【编制说明】政府投资基金子基金管理公司产生的工作流程要求。</w:t>
      </w:r>
    </w:p>
    <w:p>
      <w:pPr>
        <w:keepNext w:val="0"/>
        <w:keepLines w:val="0"/>
        <w:pageBreakBefore w:val="0"/>
        <w:kinsoku/>
        <w:wordWrap/>
        <w:overflowPunct/>
        <w:autoSpaceDE/>
        <w:autoSpaceDN/>
        <w:bidi w:val="0"/>
        <w:adjustRightInd w:val="0"/>
        <w:snapToGrid w:val="0"/>
        <w:spacing w:line="540" w:lineRule="exact"/>
        <w:ind w:right="0" w:rightChars="0" w:firstLine="630" w:firstLineChars="196"/>
        <w:textAlignment w:val="auto"/>
        <w:rPr>
          <w:rFonts w:ascii="仿宋_GB2312" w:eastAsia="仿宋_GB2312"/>
          <w:sz w:val="32"/>
          <w:szCs w:val="32"/>
        </w:rPr>
      </w:pPr>
      <w:r>
        <w:rPr>
          <w:rFonts w:hint="eastAsia" w:ascii="宋体" w:hAnsi="宋体"/>
          <w:b/>
          <w:sz w:val="32"/>
          <w:szCs w:val="32"/>
        </w:rPr>
        <w:t xml:space="preserve">第十六条  </w:t>
      </w:r>
      <w:r>
        <w:rPr>
          <w:rFonts w:hint="eastAsia" w:ascii="仿宋_GB2312" w:eastAsia="仿宋_GB2312"/>
          <w:sz w:val="32"/>
          <w:szCs w:val="32"/>
        </w:rPr>
        <w:t>引导基金对合作子基金的出资比例。</w:t>
      </w:r>
    </w:p>
    <w:p>
      <w:pPr>
        <w:keepNext w:val="0"/>
        <w:keepLines w:val="0"/>
        <w:pageBreakBefore w:val="0"/>
        <w:kinsoku/>
        <w:wordWrap/>
        <w:overflowPunct/>
        <w:autoSpaceDE/>
        <w:autoSpaceDN/>
        <w:bidi w:val="0"/>
        <w:adjustRightInd w:val="0"/>
        <w:snapToGrid w:val="0"/>
        <w:spacing w:line="540" w:lineRule="exact"/>
        <w:ind w:right="0" w:rightChars="0" w:firstLine="640" w:firstLineChars="200"/>
        <w:textAlignment w:val="auto"/>
        <w:rPr>
          <w:rFonts w:ascii="仿宋_GB2312" w:eastAsia="仿宋_GB2312"/>
          <w:sz w:val="32"/>
          <w:szCs w:val="32"/>
        </w:rPr>
      </w:pPr>
      <w:r>
        <w:rPr>
          <w:rFonts w:hint="eastAsia" w:ascii="仿宋_GB2312" w:eastAsia="仿宋_GB2312"/>
          <w:sz w:val="32"/>
          <w:szCs w:val="32"/>
        </w:rPr>
        <w:t>（一）引导基金对市场化合作子基金的出资比例不超过子基金规模的30%，基金规模放大倍数在3-4倍，子基金及关联企业投资在佛山市范围内企业的资金不低于引导基金母基金的出资额的150%。</w:t>
      </w:r>
    </w:p>
    <w:p>
      <w:pPr>
        <w:keepNext w:val="0"/>
        <w:keepLines w:val="0"/>
        <w:pageBreakBefore w:val="0"/>
        <w:kinsoku/>
        <w:wordWrap/>
        <w:overflowPunct/>
        <w:autoSpaceDE/>
        <w:autoSpaceDN/>
        <w:bidi w:val="0"/>
        <w:adjustRightInd w:val="0"/>
        <w:snapToGrid w:val="0"/>
        <w:spacing w:line="540" w:lineRule="exact"/>
        <w:ind w:right="0" w:rightChars="0" w:firstLine="640" w:firstLineChars="200"/>
        <w:textAlignment w:val="auto"/>
        <w:rPr>
          <w:rFonts w:ascii="仿宋_GB2312" w:eastAsia="仿宋_GB2312"/>
          <w:sz w:val="32"/>
          <w:szCs w:val="32"/>
        </w:rPr>
      </w:pPr>
      <w:r>
        <w:rPr>
          <w:rFonts w:hint="eastAsia" w:ascii="仿宋_GB2312" w:eastAsia="仿宋_GB2312"/>
          <w:sz w:val="32"/>
          <w:szCs w:val="32"/>
        </w:rPr>
        <w:t>（二）为促进科技成果转化，高校</w:t>
      </w:r>
      <w:r>
        <w:rPr>
          <w:rFonts w:hint="eastAsia" w:ascii="仿宋_GB2312" w:eastAsia="仿宋_GB2312"/>
          <w:sz w:val="32"/>
          <w:szCs w:val="32"/>
          <w:lang w:eastAsia="zh-CN"/>
        </w:rPr>
        <w:t>、</w:t>
      </w:r>
      <w:r>
        <w:rPr>
          <w:rFonts w:hint="eastAsia" w:ascii="仿宋_GB2312" w:eastAsia="仿宋_GB2312"/>
          <w:sz w:val="32"/>
          <w:szCs w:val="32"/>
        </w:rPr>
        <w:t>科研机构、新型研发机构</w:t>
      </w:r>
      <w:r>
        <w:rPr>
          <w:rFonts w:hint="eastAsia" w:ascii="仿宋_GB2312" w:eastAsia="仿宋_GB2312"/>
          <w:sz w:val="32"/>
          <w:szCs w:val="32"/>
          <w:lang w:eastAsia="zh-CN"/>
        </w:rPr>
        <w:t>等可</w:t>
      </w:r>
      <w:r>
        <w:rPr>
          <w:rFonts w:hint="eastAsia" w:ascii="仿宋_GB2312" w:eastAsia="仿宋_GB2312"/>
          <w:sz w:val="32"/>
          <w:szCs w:val="32"/>
        </w:rPr>
        <w:t>作为牵头机构，联合社会股权投资机构或创业投资机构申请与引导基金合作设立科技成果转化子基金，引导基金对子基金的出资比例放宽至不超过子基金规模的60%，子基金须100%投资于科研机构、新型研发机构、高校的科技成果转化项目。</w:t>
      </w:r>
    </w:p>
    <w:p>
      <w:pPr>
        <w:keepNext w:val="0"/>
        <w:keepLines w:val="0"/>
        <w:pageBreakBefore w:val="0"/>
        <w:kinsoku/>
        <w:wordWrap/>
        <w:overflowPunct/>
        <w:autoSpaceDE/>
        <w:autoSpaceDN/>
        <w:bidi w:val="0"/>
        <w:adjustRightInd w:val="0"/>
        <w:snapToGrid w:val="0"/>
        <w:spacing w:line="540" w:lineRule="exact"/>
        <w:ind w:right="0" w:rightChars="0" w:firstLine="640" w:firstLineChars="200"/>
        <w:textAlignment w:val="auto"/>
        <w:rPr>
          <w:rFonts w:ascii="仿宋_GB2312" w:eastAsia="仿宋_GB2312"/>
          <w:sz w:val="32"/>
          <w:szCs w:val="32"/>
        </w:rPr>
      </w:pPr>
      <w:r>
        <w:rPr>
          <w:rFonts w:hint="eastAsia" w:ascii="仿宋_GB2312" w:eastAsia="仿宋_GB2312"/>
          <w:sz w:val="32"/>
          <w:szCs w:val="32"/>
        </w:rPr>
        <w:t>（三）为鼓励孵化器及创新创业企业发展，经认定的市级以上</w:t>
      </w:r>
      <w:r>
        <w:rPr>
          <w:rFonts w:hint="eastAsia" w:ascii="仿宋_GB2312" w:eastAsia="仿宋_GB2312"/>
          <w:sz w:val="32"/>
          <w:szCs w:val="32"/>
          <w:lang w:eastAsia="zh-CN"/>
        </w:rPr>
        <w:t>科技企业</w:t>
      </w:r>
      <w:r>
        <w:rPr>
          <w:rFonts w:hint="eastAsia" w:ascii="仿宋_GB2312" w:eastAsia="仿宋_GB2312"/>
          <w:sz w:val="32"/>
          <w:szCs w:val="32"/>
        </w:rPr>
        <w:t>孵化器可作为牵头机构，联合股权投资机构或创业投资机构申请与引导基金合作发起设立子基金，引导基金对子基金的出资比例放宽至不超过子基金规模的50%，子基金投资于本市孵化器内企业的资金比例不低于基金规模的60%。</w:t>
      </w:r>
    </w:p>
    <w:p>
      <w:pPr>
        <w:keepNext w:val="0"/>
        <w:keepLines w:val="0"/>
        <w:pageBreakBefore w:val="0"/>
        <w:kinsoku/>
        <w:wordWrap/>
        <w:overflowPunct/>
        <w:autoSpaceDE/>
        <w:autoSpaceDN/>
        <w:bidi w:val="0"/>
        <w:adjustRightInd w:val="0"/>
        <w:snapToGrid w:val="0"/>
        <w:spacing w:line="540" w:lineRule="exact"/>
        <w:ind w:right="0" w:rightChars="0" w:firstLine="640" w:firstLineChars="200"/>
        <w:textAlignment w:val="auto"/>
        <w:rPr>
          <w:rFonts w:ascii="仿宋_GB2312" w:eastAsia="仿宋_GB2312"/>
          <w:sz w:val="32"/>
          <w:szCs w:val="32"/>
        </w:rPr>
      </w:pPr>
      <w:r>
        <w:rPr>
          <w:rFonts w:hint="eastAsia" w:ascii="仿宋_GB2312" w:eastAsia="仿宋_GB2312"/>
          <w:sz w:val="32"/>
          <w:szCs w:val="32"/>
        </w:rPr>
        <w:t>（四）为培育发展天使投资，引导基金对天使投资子基金的出资比例放宽至不超过子基金规模的40%，天使投资子基金投资于初创期科技企业（成立3年内、营业收入不超过2000万元的科技型小微企业、单个项目投资额一般不超过1000万元）的比例不低于子基金规模的60%。</w:t>
      </w:r>
    </w:p>
    <w:p>
      <w:pPr>
        <w:keepNext w:val="0"/>
        <w:keepLines w:val="0"/>
        <w:pageBreakBefore w:val="0"/>
        <w:kinsoku/>
        <w:wordWrap/>
        <w:overflowPunct/>
        <w:autoSpaceDE/>
        <w:autoSpaceDN/>
        <w:bidi w:val="0"/>
        <w:adjustRightInd w:val="0"/>
        <w:snapToGrid w:val="0"/>
        <w:spacing w:line="540" w:lineRule="exact"/>
        <w:ind w:right="0" w:rightChars="0" w:firstLine="560" w:firstLineChars="200"/>
        <w:textAlignment w:val="auto"/>
        <w:rPr>
          <w:rFonts w:ascii="仿宋_GB2312" w:eastAsia="仿宋_GB2312"/>
          <w:sz w:val="32"/>
          <w:szCs w:val="32"/>
        </w:rPr>
      </w:pPr>
      <w:r>
        <w:rPr>
          <w:rFonts w:hint="eastAsia" w:ascii="楷体" w:hAnsi="楷体" w:eastAsia="楷体" w:cs="楷体"/>
          <w:sz w:val="28"/>
          <w:szCs w:val="28"/>
        </w:rPr>
        <w:t>【编制说明】对政府投资基金出资子基金的投资比例要求。</w:t>
      </w:r>
    </w:p>
    <w:p>
      <w:pPr>
        <w:keepNext w:val="0"/>
        <w:keepLines w:val="0"/>
        <w:pageBreakBefore w:val="0"/>
        <w:kinsoku/>
        <w:wordWrap/>
        <w:overflowPunct/>
        <w:autoSpaceDE/>
        <w:autoSpaceDN/>
        <w:bidi w:val="0"/>
        <w:adjustRightInd w:val="0"/>
        <w:snapToGrid w:val="0"/>
        <w:spacing w:line="540" w:lineRule="exact"/>
        <w:ind w:right="0" w:rightChars="0" w:firstLine="630" w:firstLineChars="196"/>
        <w:textAlignment w:val="auto"/>
        <w:rPr>
          <w:rFonts w:ascii="仿宋_GB2312" w:eastAsia="仿宋_GB2312"/>
          <w:sz w:val="32"/>
          <w:szCs w:val="32"/>
        </w:rPr>
      </w:pPr>
      <w:r>
        <w:rPr>
          <w:rFonts w:hint="eastAsia" w:ascii="宋体" w:hAnsi="宋体"/>
          <w:b/>
          <w:sz w:val="32"/>
          <w:szCs w:val="32"/>
        </w:rPr>
        <w:t xml:space="preserve">第十七条  </w:t>
      </w:r>
      <w:r>
        <w:rPr>
          <w:rFonts w:hint="eastAsia" w:ascii="仿宋_GB2312" w:eastAsia="仿宋_GB2312"/>
          <w:sz w:val="32"/>
          <w:szCs w:val="32"/>
        </w:rPr>
        <w:t>引导基金参股设立的合作子基金的应满足下列要求：</w:t>
      </w:r>
    </w:p>
    <w:p>
      <w:pPr>
        <w:pStyle w:val="15"/>
        <w:keepNext w:val="0"/>
        <w:keepLines w:val="0"/>
        <w:pageBreakBefore w:val="0"/>
        <w:kinsoku/>
        <w:wordWrap/>
        <w:overflowPunct/>
        <w:autoSpaceDE/>
        <w:autoSpaceDN/>
        <w:bidi w:val="0"/>
        <w:adjustRightInd w:val="0"/>
        <w:snapToGrid w:val="0"/>
        <w:spacing w:line="540" w:lineRule="exact"/>
        <w:ind w:right="0" w:rightChars="0" w:firstLine="640" w:firstLineChars="200"/>
        <w:textAlignment w:val="auto"/>
        <w:rPr>
          <w:rFonts w:ascii="仿宋_GB2312" w:eastAsia="仿宋_GB2312"/>
          <w:sz w:val="32"/>
          <w:szCs w:val="32"/>
        </w:rPr>
      </w:pPr>
      <w:r>
        <w:rPr>
          <w:rFonts w:hint="eastAsia" w:ascii="仿宋_GB2312" w:eastAsia="仿宋_GB2312"/>
          <w:sz w:val="32"/>
          <w:szCs w:val="32"/>
        </w:rPr>
        <w:t>（一）每个合作子基金规模原则上不低于5000万元；</w:t>
      </w:r>
    </w:p>
    <w:p>
      <w:pPr>
        <w:pStyle w:val="15"/>
        <w:keepNext w:val="0"/>
        <w:keepLines w:val="0"/>
        <w:pageBreakBefore w:val="0"/>
        <w:kinsoku/>
        <w:wordWrap/>
        <w:overflowPunct/>
        <w:autoSpaceDE/>
        <w:autoSpaceDN/>
        <w:bidi w:val="0"/>
        <w:adjustRightInd w:val="0"/>
        <w:snapToGrid w:val="0"/>
        <w:spacing w:line="540" w:lineRule="exact"/>
        <w:ind w:right="0" w:rightChars="0" w:firstLine="640" w:firstLineChars="200"/>
        <w:textAlignment w:val="auto"/>
        <w:rPr>
          <w:rFonts w:ascii="仿宋_GB2312" w:eastAsia="仿宋_GB2312"/>
          <w:sz w:val="32"/>
          <w:szCs w:val="32"/>
        </w:rPr>
      </w:pPr>
      <w:r>
        <w:rPr>
          <w:rFonts w:hint="eastAsia" w:ascii="仿宋_GB2312" w:eastAsia="仿宋_GB2312"/>
          <w:sz w:val="32"/>
          <w:szCs w:val="32"/>
        </w:rPr>
        <w:t>（二）合作子基金出资构成中除子基金管理人和引导基金公司外,其它单个出资人出资额不低于500万元；</w:t>
      </w:r>
    </w:p>
    <w:p>
      <w:pPr>
        <w:pStyle w:val="15"/>
        <w:keepNext w:val="0"/>
        <w:keepLines w:val="0"/>
        <w:pageBreakBefore w:val="0"/>
        <w:kinsoku/>
        <w:wordWrap/>
        <w:overflowPunct/>
        <w:autoSpaceDE/>
        <w:autoSpaceDN/>
        <w:bidi w:val="0"/>
        <w:adjustRightInd w:val="0"/>
        <w:snapToGrid w:val="0"/>
        <w:spacing w:line="540" w:lineRule="exact"/>
        <w:ind w:right="0" w:rightChars="0" w:firstLine="640" w:firstLineChars="200"/>
        <w:textAlignment w:val="auto"/>
        <w:rPr>
          <w:rFonts w:ascii="仿宋_GB2312" w:eastAsia="仿宋_GB2312"/>
          <w:sz w:val="32"/>
          <w:szCs w:val="32"/>
        </w:rPr>
      </w:pPr>
      <w:r>
        <w:rPr>
          <w:rFonts w:hint="eastAsia" w:ascii="仿宋_GB2312" w:eastAsia="仿宋_GB2312"/>
          <w:sz w:val="32"/>
          <w:szCs w:val="32"/>
        </w:rPr>
        <w:t>（三）引导基金对合作子基金的每期出资款原则上均在其他出资人完成出资后才缴付；</w:t>
      </w:r>
    </w:p>
    <w:p>
      <w:pPr>
        <w:pStyle w:val="15"/>
        <w:keepNext w:val="0"/>
        <w:keepLines w:val="0"/>
        <w:pageBreakBefore w:val="0"/>
        <w:kinsoku/>
        <w:wordWrap/>
        <w:overflowPunct/>
        <w:autoSpaceDE/>
        <w:autoSpaceDN/>
        <w:bidi w:val="0"/>
        <w:adjustRightInd w:val="0"/>
        <w:snapToGrid w:val="0"/>
        <w:spacing w:line="540" w:lineRule="exact"/>
        <w:ind w:right="0" w:rightChars="0" w:firstLine="640" w:firstLineChars="200"/>
        <w:textAlignment w:val="auto"/>
        <w:rPr>
          <w:rFonts w:ascii="仿宋_GB2312" w:eastAsia="仿宋_GB2312"/>
          <w:sz w:val="32"/>
          <w:szCs w:val="32"/>
        </w:rPr>
      </w:pPr>
      <w:r>
        <w:rPr>
          <w:rFonts w:hint="eastAsia" w:ascii="仿宋_GB2312" w:eastAsia="仿宋_GB2312"/>
          <w:sz w:val="32"/>
          <w:szCs w:val="32"/>
        </w:rPr>
        <w:t>（四）合作子基金的投资原则上不超过被投资企业总股权的30%;对一个企业股权投资的资金总额,原则上不超过该子基金资金总额的20%，如子基金投资超过上述投资比例的限制，报基金管理委员会审批后方可实施；</w:t>
      </w:r>
    </w:p>
    <w:p>
      <w:pPr>
        <w:pStyle w:val="15"/>
        <w:keepNext w:val="0"/>
        <w:keepLines w:val="0"/>
        <w:pageBreakBefore w:val="0"/>
        <w:kinsoku/>
        <w:wordWrap/>
        <w:overflowPunct/>
        <w:autoSpaceDE/>
        <w:autoSpaceDN/>
        <w:bidi w:val="0"/>
        <w:adjustRightInd w:val="0"/>
        <w:snapToGrid w:val="0"/>
        <w:spacing w:line="540" w:lineRule="exact"/>
        <w:ind w:right="0" w:rightChars="0" w:firstLine="640" w:firstLineChars="200"/>
        <w:textAlignment w:val="auto"/>
        <w:rPr>
          <w:rFonts w:ascii="仿宋_GB2312" w:eastAsia="仿宋_GB2312"/>
          <w:sz w:val="32"/>
          <w:szCs w:val="32"/>
        </w:rPr>
      </w:pPr>
      <w:r>
        <w:rPr>
          <w:rFonts w:hint="eastAsia" w:ascii="仿宋_GB2312" w:eastAsia="仿宋_GB2312"/>
          <w:sz w:val="32"/>
          <w:szCs w:val="32"/>
        </w:rPr>
        <w:t>（五）合作子基金存续期原则上</w:t>
      </w:r>
      <w:r>
        <w:rPr>
          <w:rFonts w:hint="eastAsia" w:ascii="仿宋_GB2312" w:eastAsia="仿宋_GB2312"/>
          <w:sz w:val="32"/>
          <w:szCs w:val="32"/>
          <w:lang w:eastAsia="zh-CN"/>
        </w:rPr>
        <w:t>不超过</w:t>
      </w:r>
      <w:r>
        <w:rPr>
          <w:rFonts w:hint="eastAsia" w:ascii="仿宋_GB2312" w:eastAsia="仿宋_GB2312"/>
          <w:sz w:val="32"/>
          <w:szCs w:val="32"/>
        </w:rPr>
        <w:t>7年，</w:t>
      </w:r>
      <w:r>
        <w:rPr>
          <w:rFonts w:hint="eastAsia" w:ascii="仿宋_GB2312" w:hAnsi="仿宋_GB2312" w:eastAsia="仿宋_GB2312" w:cs="仿宋_GB2312"/>
          <w:sz w:val="32"/>
          <w:szCs w:val="32"/>
        </w:rPr>
        <w:t>其中投资期</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年，退出期3年</w:t>
      </w:r>
      <w:r>
        <w:rPr>
          <w:rFonts w:hint="eastAsia" w:ascii="仿宋_GB2312" w:hAnsi="仿宋_GB2312" w:eastAsia="仿宋_GB2312" w:cs="仿宋_GB2312"/>
          <w:sz w:val="32"/>
          <w:szCs w:val="32"/>
          <w:lang w:eastAsia="zh-CN"/>
        </w:rPr>
        <w:t>；</w:t>
      </w:r>
      <w:r>
        <w:rPr>
          <w:rFonts w:hint="eastAsia" w:ascii="仿宋_GB2312" w:eastAsia="仿宋_GB2312"/>
          <w:sz w:val="32"/>
          <w:szCs w:val="32"/>
        </w:rPr>
        <w:t>确需超过7年的，</w:t>
      </w:r>
      <w:r>
        <w:rPr>
          <w:rFonts w:hint="eastAsia" w:ascii="仿宋_GB2312" w:eastAsia="仿宋_GB2312"/>
          <w:sz w:val="32"/>
          <w:szCs w:val="32"/>
          <w:lang w:eastAsia="zh-CN"/>
        </w:rPr>
        <w:t>在</w:t>
      </w:r>
      <w:r>
        <w:rPr>
          <w:rFonts w:hint="eastAsia" w:ascii="仿宋_GB2312" w:hAnsi="仿宋_GB2312" w:eastAsia="仿宋_GB2312" w:cs="仿宋_GB2312"/>
          <w:sz w:val="32"/>
          <w:szCs w:val="32"/>
        </w:rPr>
        <w:t>基金存续期满前可根据需要经</w:t>
      </w:r>
      <w:r>
        <w:rPr>
          <w:rFonts w:hint="eastAsia" w:ascii="仿宋_GB2312" w:eastAsia="仿宋_GB2312"/>
          <w:sz w:val="32"/>
          <w:szCs w:val="32"/>
        </w:rPr>
        <w:t>引导基金投资决策委员会</w:t>
      </w:r>
      <w:r>
        <w:rPr>
          <w:rFonts w:hint="eastAsia" w:ascii="仿宋_GB2312" w:hAnsi="仿宋_GB2312" w:eastAsia="仿宋_GB2312" w:cs="仿宋_GB2312"/>
          <w:sz w:val="32"/>
          <w:szCs w:val="32"/>
        </w:rPr>
        <w:t>同意</w:t>
      </w:r>
      <w:r>
        <w:rPr>
          <w:rFonts w:hint="eastAsia" w:ascii="仿宋_GB2312" w:hAnsi="仿宋_GB2312" w:eastAsia="仿宋_GB2312" w:cs="仿宋_GB2312"/>
          <w:sz w:val="32"/>
          <w:szCs w:val="32"/>
          <w:lang w:eastAsia="zh-CN"/>
        </w:rPr>
        <w:t>最长</w:t>
      </w:r>
      <w:r>
        <w:rPr>
          <w:rFonts w:hint="eastAsia" w:ascii="仿宋_GB2312" w:hAnsi="仿宋_GB2312" w:eastAsia="仿宋_GB2312" w:cs="仿宋_GB2312"/>
          <w:sz w:val="32"/>
          <w:szCs w:val="32"/>
        </w:rPr>
        <w:t>延期2年。子基金存续期需在母基金存续期范围内</w:t>
      </w:r>
      <w:r>
        <w:rPr>
          <w:rFonts w:hint="eastAsia" w:ascii="仿宋_GB2312" w:hAnsi="仿宋_GB2312" w:eastAsia="仿宋_GB2312" w:cs="仿宋_GB2312"/>
          <w:sz w:val="32"/>
          <w:szCs w:val="32"/>
          <w:lang w:eastAsia="zh-CN"/>
        </w:rPr>
        <w:t>。</w:t>
      </w:r>
    </w:p>
    <w:p>
      <w:pPr>
        <w:pStyle w:val="15"/>
        <w:keepNext w:val="0"/>
        <w:keepLines w:val="0"/>
        <w:pageBreakBefore w:val="0"/>
        <w:kinsoku/>
        <w:wordWrap/>
        <w:overflowPunct/>
        <w:autoSpaceDE/>
        <w:autoSpaceDN/>
        <w:bidi w:val="0"/>
        <w:adjustRightInd w:val="0"/>
        <w:snapToGrid w:val="0"/>
        <w:spacing w:line="540" w:lineRule="exact"/>
        <w:ind w:right="0" w:rightChars="0" w:firstLine="640" w:firstLineChars="200"/>
        <w:textAlignment w:val="auto"/>
        <w:rPr>
          <w:rFonts w:ascii="仿宋_GB2312" w:eastAsia="仿宋_GB2312"/>
          <w:sz w:val="32"/>
          <w:szCs w:val="32"/>
        </w:rPr>
      </w:pPr>
      <w:r>
        <w:rPr>
          <w:rFonts w:hint="eastAsia" w:ascii="仿宋_GB2312" w:eastAsia="仿宋_GB2312"/>
          <w:sz w:val="32"/>
          <w:szCs w:val="32"/>
        </w:rPr>
        <w:t>（六）合作子基金既可以新设，也可以增资；</w:t>
      </w:r>
    </w:p>
    <w:p>
      <w:pPr>
        <w:pStyle w:val="15"/>
        <w:keepNext w:val="0"/>
        <w:keepLines w:val="0"/>
        <w:pageBreakBefore w:val="0"/>
        <w:kinsoku/>
        <w:wordWrap/>
        <w:overflowPunct/>
        <w:autoSpaceDE/>
        <w:autoSpaceDN/>
        <w:bidi w:val="0"/>
        <w:adjustRightInd w:val="0"/>
        <w:snapToGrid w:val="0"/>
        <w:spacing w:line="540" w:lineRule="exact"/>
        <w:ind w:right="0" w:rightChars="0" w:firstLine="640" w:firstLineChars="200"/>
        <w:textAlignment w:val="auto"/>
        <w:rPr>
          <w:rFonts w:ascii="仿宋_GB2312" w:eastAsia="仿宋_GB2312"/>
          <w:sz w:val="32"/>
          <w:szCs w:val="32"/>
        </w:rPr>
      </w:pPr>
      <w:r>
        <w:rPr>
          <w:rFonts w:hint="eastAsia" w:ascii="仿宋_GB2312" w:eastAsia="仿宋_GB2312"/>
          <w:sz w:val="32"/>
          <w:szCs w:val="32"/>
        </w:rPr>
        <w:t>（七）经市基金办批准，对于合作子基金的标准可以适当放宽。</w:t>
      </w:r>
    </w:p>
    <w:p>
      <w:pPr>
        <w:pStyle w:val="15"/>
        <w:keepNext w:val="0"/>
        <w:keepLines w:val="0"/>
        <w:pageBreakBefore w:val="0"/>
        <w:kinsoku/>
        <w:wordWrap/>
        <w:overflowPunct/>
        <w:autoSpaceDE/>
        <w:autoSpaceDN/>
        <w:bidi w:val="0"/>
        <w:adjustRightInd w:val="0"/>
        <w:snapToGrid w:val="0"/>
        <w:spacing w:line="540" w:lineRule="exact"/>
        <w:ind w:right="0" w:rightChars="0" w:firstLine="560" w:firstLineChars="200"/>
        <w:textAlignment w:val="auto"/>
        <w:rPr>
          <w:rFonts w:ascii="仿宋_GB2312" w:eastAsia="仿宋_GB2312"/>
          <w:sz w:val="32"/>
          <w:szCs w:val="32"/>
        </w:rPr>
      </w:pPr>
      <w:r>
        <w:rPr>
          <w:rFonts w:hint="eastAsia" w:ascii="楷体" w:hAnsi="楷体" w:eastAsia="楷体" w:cs="楷体"/>
          <w:sz w:val="28"/>
          <w:szCs w:val="28"/>
        </w:rPr>
        <w:t>【编制说明】对政府投资基金出资的子基金的规模及管理要求。</w:t>
      </w:r>
    </w:p>
    <w:p>
      <w:pPr>
        <w:pStyle w:val="15"/>
        <w:keepNext w:val="0"/>
        <w:keepLines w:val="0"/>
        <w:pageBreakBefore w:val="0"/>
        <w:kinsoku/>
        <w:wordWrap/>
        <w:overflowPunct/>
        <w:autoSpaceDE/>
        <w:autoSpaceDN/>
        <w:bidi w:val="0"/>
        <w:adjustRightInd w:val="0"/>
        <w:snapToGrid w:val="0"/>
        <w:spacing w:line="540" w:lineRule="exact"/>
        <w:ind w:right="0" w:rightChars="0" w:firstLine="640" w:firstLineChars="200"/>
        <w:textAlignment w:val="auto"/>
        <w:rPr>
          <w:rFonts w:ascii="仿宋_GB2312" w:eastAsia="仿宋_GB2312"/>
          <w:sz w:val="32"/>
          <w:szCs w:val="32"/>
        </w:rPr>
      </w:pPr>
    </w:p>
    <w:p>
      <w:pPr>
        <w:keepNext w:val="0"/>
        <w:keepLines w:val="0"/>
        <w:pageBreakBefore w:val="0"/>
        <w:kinsoku/>
        <w:wordWrap/>
        <w:overflowPunct/>
        <w:autoSpaceDE/>
        <w:autoSpaceDN/>
        <w:bidi w:val="0"/>
        <w:adjustRightInd w:val="0"/>
        <w:snapToGrid w:val="0"/>
        <w:spacing w:line="540" w:lineRule="exact"/>
        <w:ind w:right="0" w:rightChars="0"/>
        <w:jc w:val="center"/>
        <w:textAlignment w:val="auto"/>
        <w:outlineLvl w:val="0"/>
        <w:rPr>
          <w:rFonts w:ascii="黑体" w:hAnsi="宋体" w:eastAsia="黑体"/>
          <w:b/>
          <w:sz w:val="32"/>
          <w:szCs w:val="32"/>
        </w:rPr>
      </w:pPr>
      <w:r>
        <w:rPr>
          <w:rFonts w:hint="eastAsia" w:ascii="黑体" w:hAnsi="宋体" w:eastAsia="黑体"/>
          <w:b/>
          <w:sz w:val="32"/>
          <w:szCs w:val="32"/>
        </w:rPr>
        <w:t>第四章  直投子基金投资运作</w:t>
      </w:r>
    </w:p>
    <w:p>
      <w:pPr>
        <w:keepNext w:val="0"/>
        <w:keepLines w:val="0"/>
        <w:pageBreakBefore w:val="0"/>
        <w:kinsoku/>
        <w:wordWrap/>
        <w:overflowPunct/>
        <w:autoSpaceDE/>
        <w:autoSpaceDN/>
        <w:bidi w:val="0"/>
        <w:spacing w:line="540" w:lineRule="exact"/>
        <w:ind w:right="0" w:rightChars="0" w:firstLine="640"/>
        <w:textAlignment w:val="auto"/>
        <w:rPr>
          <w:rFonts w:ascii="仿宋_GB2312" w:eastAsia="仿宋_GB2312"/>
          <w:sz w:val="32"/>
          <w:szCs w:val="32"/>
        </w:rPr>
      </w:pPr>
      <w:r>
        <w:rPr>
          <w:rFonts w:hint="eastAsia" w:ascii="仿宋_GB2312" w:hAnsi="仿宋_GB2312" w:eastAsia="仿宋_GB2312" w:cs="仿宋_GB2312"/>
          <w:b/>
          <w:bCs/>
          <w:sz w:val="32"/>
          <w:szCs w:val="36"/>
        </w:rPr>
        <w:t>第十八条</w:t>
      </w:r>
      <w:r>
        <w:rPr>
          <w:rFonts w:hint="eastAsia" w:ascii="仿宋_GB2312" w:hAnsi="仿宋_GB2312" w:eastAsia="仿宋_GB2312" w:cs="仿宋_GB2312"/>
          <w:sz w:val="32"/>
          <w:szCs w:val="36"/>
        </w:rPr>
        <w:t xml:space="preserve">  </w:t>
      </w:r>
      <w:r>
        <w:rPr>
          <w:rFonts w:hint="eastAsia" w:ascii="仿宋_GB2312" w:eastAsia="仿宋_GB2312"/>
          <w:sz w:val="32"/>
          <w:szCs w:val="32"/>
        </w:rPr>
        <w:t>直投子基金由引导基金全额出资成立，主要投向市重点发展产业领域、科创领域项目及市重点招商项目。</w:t>
      </w:r>
    </w:p>
    <w:p>
      <w:pPr>
        <w:keepNext w:val="0"/>
        <w:keepLines w:val="0"/>
        <w:pageBreakBefore w:val="0"/>
        <w:kinsoku/>
        <w:wordWrap/>
        <w:overflowPunct/>
        <w:autoSpaceDE/>
        <w:autoSpaceDN/>
        <w:bidi w:val="0"/>
        <w:spacing w:line="540" w:lineRule="exact"/>
        <w:ind w:right="0" w:rightChars="0" w:firstLine="640"/>
        <w:textAlignment w:val="auto"/>
        <w:rPr>
          <w:rFonts w:ascii="仿宋_GB2312" w:eastAsia="仿宋_GB2312"/>
          <w:sz w:val="32"/>
          <w:szCs w:val="32"/>
        </w:rPr>
      </w:pPr>
      <w:r>
        <w:rPr>
          <w:rFonts w:hint="eastAsia" w:ascii="楷体" w:hAnsi="楷体" w:eastAsia="楷体" w:cs="楷体"/>
          <w:sz w:val="28"/>
          <w:szCs w:val="28"/>
        </w:rPr>
        <w:t>【编制说明】政府投资基金的直投子基金定义。</w:t>
      </w:r>
    </w:p>
    <w:p>
      <w:pPr>
        <w:keepNext w:val="0"/>
        <w:keepLines w:val="0"/>
        <w:pageBreakBefore w:val="0"/>
        <w:kinsoku/>
        <w:wordWrap/>
        <w:overflowPunct/>
        <w:topLinePunct/>
        <w:autoSpaceDE/>
        <w:autoSpaceDN/>
        <w:bidi w:val="0"/>
        <w:adjustRightInd w:val="0"/>
        <w:snapToGrid w:val="0"/>
        <w:spacing w:line="540" w:lineRule="exact"/>
        <w:ind w:right="0" w:rightChars="0" w:firstLine="643" w:firstLineChars="200"/>
        <w:textAlignment w:val="auto"/>
        <w:rPr>
          <w:rFonts w:ascii="仿宋_GB2312" w:eastAsia="仿宋_GB2312"/>
          <w:sz w:val="32"/>
          <w:szCs w:val="32"/>
        </w:rPr>
      </w:pPr>
      <w:r>
        <w:rPr>
          <w:rFonts w:hint="eastAsia" w:ascii="仿宋_GB2312" w:hAnsi="仿宋_GB2312" w:eastAsia="仿宋_GB2312" w:cs="仿宋_GB2312"/>
          <w:b/>
          <w:bCs/>
          <w:sz w:val="32"/>
          <w:szCs w:val="36"/>
        </w:rPr>
        <w:t>第十九条</w:t>
      </w:r>
      <w:r>
        <w:rPr>
          <w:rFonts w:hint="eastAsia" w:ascii="仿宋_GB2312" w:hAnsi="仿宋_GB2312" w:eastAsia="仿宋_GB2312" w:cs="仿宋_GB2312"/>
          <w:sz w:val="32"/>
          <w:szCs w:val="36"/>
        </w:rPr>
        <w:t xml:space="preserve">  </w:t>
      </w:r>
      <w:r>
        <w:rPr>
          <w:rFonts w:hint="eastAsia" w:ascii="仿宋_GB2312" w:eastAsia="仿宋_GB2312"/>
          <w:sz w:val="32"/>
          <w:szCs w:val="32"/>
        </w:rPr>
        <w:t>直投子基金的管理机构原则上通过公开竞争方式选聘。直投子基金管理机构应满足以下条件：</w:t>
      </w:r>
    </w:p>
    <w:p>
      <w:pPr>
        <w:keepNext w:val="0"/>
        <w:keepLines w:val="0"/>
        <w:pageBreakBefore w:val="0"/>
        <w:kinsoku/>
        <w:wordWrap/>
        <w:overflowPunct/>
        <w:autoSpaceDE/>
        <w:autoSpaceDN/>
        <w:bidi w:val="0"/>
        <w:adjustRightInd w:val="0"/>
        <w:snapToGrid w:val="0"/>
        <w:spacing w:line="540" w:lineRule="exact"/>
        <w:ind w:right="0" w:rightChars="0" w:firstLine="640"/>
        <w:textAlignment w:val="auto"/>
        <w:rPr>
          <w:rFonts w:ascii="仿宋_GB2312" w:eastAsia="仿宋_GB2312"/>
          <w:sz w:val="32"/>
          <w:szCs w:val="32"/>
        </w:rPr>
      </w:pPr>
      <w:r>
        <w:rPr>
          <w:rFonts w:hint="eastAsia" w:ascii="仿宋_GB2312" w:eastAsia="仿宋_GB2312"/>
          <w:sz w:val="32"/>
          <w:szCs w:val="32"/>
        </w:rPr>
        <w:t>1.在中国大陆依法设立，具有独立法人资格；</w:t>
      </w:r>
    </w:p>
    <w:p>
      <w:pPr>
        <w:keepNext w:val="0"/>
        <w:keepLines w:val="0"/>
        <w:pageBreakBefore w:val="0"/>
        <w:kinsoku/>
        <w:wordWrap/>
        <w:overflowPunct/>
        <w:autoSpaceDE/>
        <w:autoSpaceDN/>
        <w:bidi w:val="0"/>
        <w:adjustRightInd w:val="0"/>
        <w:snapToGrid w:val="0"/>
        <w:spacing w:line="540" w:lineRule="exact"/>
        <w:ind w:right="0" w:rightChars="0" w:firstLine="640"/>
        <w:textAlignment w:val="auto"/>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注册资本不低于</w:t>
      </w:r>
      <w:r>
        <w:rPr>
          <w:rFonts w:ascii="仿宋_GB2312" w:eastAsia="仿宋_GB2312"/>
          <w:sz w:val="32"/>
          <w:szCs w:val="32"/>
        </w:rPr>
        <w:t>10</w:t>
      </w:r>
      <w:r>
        <w:rPr>
          <w:rFonts w:hint="eastAsia" w:ascii="仿宋_GB2312" w:eastAsia="仿宋_GB2312"/>
          <w:sz w:val="32"/>
          <w:szCs w:val="32"/>
        </w:rPr>
        <w:t>00万元人民币；</w:t>
      </w:r>
    </w:p>
    <w:p>
      <w:pPr>
        <w:keepNext w:val="0"/>
        <w:keepLines w:val="0"/>
        <w:pageBreakBefore w:val="0"/>
        <w:kinsoku/>
        <w:wordWrap/>
        <w:overflowPunct/>
        <w:autoSpaceDE/>
        <w:autoSpaceDN/>
        <w:bidi w:val="0"/>
        <w:spacing w:line="540" w:lineRule="exact"/>
        <w:ind w:right="0" w:rightChars="0" w:firstLine="640" w:firstLineChars="200"/>
        <w:textAlignment w:val="auto"/>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.至少3名从事3年以上投资或基金管理工作经验且具备基金从业资格的从业人员；</w:t>
      </w:r>
    </w:p>
    <w:p>
      <w:pPr>
        <w:keepNext w:val="0"/>
        <w:keepLines w:val="0"/>
        <w:pageBreakBefore w:val="0"/>
        <w:kinsoku/>
        <w:wordWrap/>
        <w:overflowPunct/>
        <w:autoSpaceDE/>
        <w:autoSpaceDN/>
        <w:bidi w:val="0"/>
        <w:adjustRightInd w:val="0"/>
        <w:snapToGrid w:val="0"/>
        <w:spacing w:line="540" w:lineRule="exact"/>
        <w:ind w:right="0" w:rightChars="0" w:firstLine="640" w:firstLineChars="200"/>
        <w:textAlignment w:val="auto"/>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有完善的投资基金管理制度，包括良好的内部治理结构和风险控制制度等；</w:t>
      </w:r>
    </w:p>
    <w:p>
      <w:pPr>
        <w:keepNext w:val="0"/>
        <w:keepLines w:val="0"/>
        <w:pageBreakBefore w:val="0"/>
        <w:kinsoku/>
        <w:wordWrap/>
        <w:overflowPunct/>
        <w:autoSpaceDE/>
        <w:autoSpaceDN/>
        <w:bidi w:val="0"/>
        <w:spacing w:line="540" w:lineRule="exact"/>
        <w:ind w:right="0" w:rightChars="0" w:firstLine="640" w:firstLineChars="200"/>
        <w:textAlignment w:val="auto"/>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申报机构及其董事、监事、高级管理人员在最近3年无重大违法行为，没有受过行政主管机关或司法机关重大处罚的不良记录，保持良好的财务状况。</w:t>
      </w:r>
    </w:p>
    <w:p>
      <w:pPr>
        <w:keepNext w:val="0"/>
        <w:keepLines w:val="0"/>
        <w:pageBreakBefore w:val="0"/>
        <w:kinsoku/>
        <w:wordWrap/>
        <w:overflowPunct/>
        <w:autoSpaceDE/>
        <w:autoSpaceDN/>
        <w:bidi w:val="0"/>
        <w:spacing w:line="540" w:lineRule="exact"/>
        <w:ind w:right="0" w:rightChars="0" w:firstLine="560" w:firstLineChars="200"/>
        <w:textAlignment w:val="auto"/>
        <w:rPr>
          <w:rFonts w:ascii="仿宋_GB2312" w:eastAsia="仿宋_GB2312"/>
          <w:sz w:val="32"/>
          <w:szCs w:val="32"/>
        </w:rPr>
      </w:pPr>
      <w:r>
        <w:rPr>
          <w:rFonts w:hint="eastAsia" w:ascii="楷体" w:hAnsi="楷体" w:eastAsia="楷体" w:cs="楷体"/>
          <w:sz w:val="28"/>
          <w:szCs w:val="28"/>
        </w:rPr>
        <w:t>【编制说明】对政府投资基金直投子基金的管理机构的产生方式及资格要求，</w:t>
      </w:r>
      <w:bookmarkStart w:id="1" w:name="_Hlk19867366"/>
      <w:r>
        <w:rPr>
          <w:rFonts w:hint="eastAsia" w:ascii="楷体" w:hAnsi="楷体" w:eastAsia="楷体" w:cs="楷体"/>
          <w:sz w:val="28"/>
          <w:szCs w:val="28"/>
        </w:rPr>
        <w:t>参考《佛山市人民政府办公室关于印发佛山市本级政府投资基金管理实施办法的通知》（佛府办函〔2018〕996号）</w:t>
      </w:r>
      <w:bookmarkEnd w:id="1"/>
      <w:r>
        <w:rPr>
          <w:rFonts w:hint="eastAsia" w:ascii="楷体" w:hAnsi="楷体" w:eastAsia="楷体" w:cs="楷体"/>
          <w:sz w:val="28"/>
          <w:szCs w:val="28"/>
        </w:rPr>
        <w:t>。</w:t>
      </w:r>
    </w:p>
    <w:p>
      <w:pPr>
        <w:keepNext w:val="0"/>
        <w:keepLines w:val="0"/>
        <w:pageBreakBefore w:val="0"/>
        <w:kinsoku/>
        <w:wordWrap/>
        <w:overflowPunct/>
        <w:topLinePunct/>
        <w:autoSpaceDE/>
        <w:autoSpaceDN/>
        <w:bidi w:val="0"/>
        <w:adjustRightInd w:val="0"/>
        <w:snapToGrid w:val="0"/>
        <w:spacing w:line="540" w:lineRule="exact"/>
        <w:ind w:right="0" w:rightChars="0" w:firstLine="643" w:firstLineChars="200"/>
        <w:textAlignment w:val="auto"/>
        <w:rPr>
          <w:rFonts w:ascii="仿宋_GB2312" w:eastAsia="仿宋_GB2312"/>
          <w:sz w:val="32"/>
          <w:szCs w:val="32"/>
        </w:rPr>
      </w:pPr>
      <w:r>
        <w:rPr>
          <w:rFonts w:hint="eastAsia" w:ascii="仿宋_GB2312" w:eastAsia="仿宋_GB2312"/>
          <w:b/>
          <w:sz w:val="32"/>
          <w:szCs w:val="32"/>
        </w:rPr>
        <w:t>第二十条</w:t>
      </w:r>
      <w:r>
        <w:rPr>
          <w:rFonts w:hint="eastAsia" w:ascii="仿宋_GB2312" w:hAnsi="仿宋_GB2312" w:eastAsia="仿宋_GB2312" w:cs="仿宋_GB2312"/>
          <w:sz w:val="32"/>
          <w:szCs w:val="36"/>
        </w:rPr>
        <w:t xml:space="preserve">  </w:t>
      </w:r>
      <w:r>
        <w:rPr>
          <w:rFonts w:hint="eastAsia" w:ascii="仿宋_GB2312" w:eastAsia="仿宋_GB2312"/>
          <w:sz w:val="32"/>
          <w:szCs w:val="32"/>
        </w:rPr>
        <w:t>直投子基金应满足以下条件：</w:t>
      </w:r>
    </w:p>
    <w:p>
      <w:pPr>
        <w:pStyle w:val="8"/>
        <w:keepNext w:val="0"/>
        <w:keepLines w:val="0"/>
        <w:pageBreakBefore w:val="0"/>
        <w:kinsoku/>
        <w:wordWrap/>
        <w:overflowPunct/>
        <w:autoSpaceDE/>
        <w:autoSpaceDN/>
        <w:bidi w:val="0"/>
        <w:spacing w:line="540" w:lineRule="exact"/>
        <w:ind w:right="0" w:rightChars="0" w:firstLine="640" w:firstLineChars="200"/>
        <w:textAlignment w:val="auto"/>
        <w:rPr>
          <w:rFonts w:hint="eastAsia" w:ascii="仿宋_GB2312" w:eastAsia="仿宋_GB2312" w:cs="Times New Roman"/>
          <w:sz w:val="32"/>
          <w:szCs w:val="32"/>
        </w:rPr>
      </w:pPr>
      <w:r>
        <w:rPr>
          <w:rFonts w:hint="eastAsia" w:ascii="仿宋_GB2312" w:eastAsia="仿宋_GB2312" w:cs="Times New Roman"/>
          <w:sz w:val="32"/>
          <w:szCs w:val="32"/>
        </w:rPr>
        <w:t>（一）</w:t>
      </w:r>
      <w:r>
        <w:rPr>
          <w:rFonts w:hint="eastAsia" w:ascii="仿宋_GB2312" w:eastAsia="仿宋_GB2312" w:cs="Times New Roman"/>
          <w:sz w:val="32"/>
          <w:szCs w:val="32"/>
          <w:lang w:eastAsia="zh-CN"/>
        </w:rPr>
        <w:t>基金规模：首期安排资金不超过</w:t>
      </w:r>
      <w:r>
        <w:rPr>
          <w:rFonts w:hint="eastAsia" w:ascii="仿宋_GB2312" w:eastAsia="仿宋_GB2312" w:cs="Times New Roman"/>
          <w:sz w:val="32"/>
          <w:szCs w:val="32"/>
          <w:lang w:val="en-US" w:eastAsia="zh-CN"/>
        </w:rPr>
        <w:t>5亿元，后续视项目开展情况，由基金管理公司提出增加需求，交由</w:t>
      </w:r>
      <w:r>
        <w:rPr>
          <w:rFonts w:hint="eastAsia" w:ascii="仿宋_GB2312" w:eastAsia="仿宋_GB2312"/>
          <w:sz w:val="32"/>
          <w:szCs w:val="32"/>
        </w:rPr>
        <w:t>引导基金投资决策委员会</w:t>
      </w:r>
      <w:r>
        <w:rPr>
          <w:rFonts w:hint="eastAsia" w:ascii="仿宋_GB2312" w:eastAsia="仿宋_GB2312"/>
          <w:sz w:val="32"/>
          <w:szCs w:val="32"/>
          <w:lang w:eastAsia="zh-CN"/>
        </w:rPr>
        <w:t>审议。</w:t>
      </w:r>
    </w:p>
    <w:p>
      <w:pPr>
        <w:pStyle w:val="8"/>
        <w:keepNext w:val="0"/>
        <w:keepLines w:val="0"/>
        <w:pageBreakBefore w:val="0"/>
        <w:kinsoku/>
        <w:wordWrap/>
        <w:overflowPunct/>
        <w:autoSpaceDE/>
        <w:autoSpaceDN/>
        <w:bidi w:val="0"/>
        <w:spacing w:line="540" w:lineRule="exact"/>
        <w:ind w:right="0" w:rightChars="0" w:firstLine="640" w:firstLineChars="200"/>
        <w:textAlignment w:val="auto"/>
        <w:rPr>
          <w:rFonts w:ascii="仿宋_GB2312" w:eastAsia="仿宋_GB2312" w:cs="Times New Roman"/>
          <w:sz w:val="32"/>
          <w:szCs w:val="32"/>
        </w:rPr>
      </w:pPr>
      <w:r>
        <w:rPr>
          <w:rFonts w:hint="eastAsia" w:ascii="仿宋_GB2312" w:eastAsia="仿宋_GB2312" w:cs="Times New Roman"/>
          <w:sz w:val="32"/>
          <w:szCs w:val="32"/>
          <w:lang w:eastAsia="zh-CN"/>
        </w:rPr>
        <w:t>（二）</w:t>
      </w:r>
      <w:r>
        <w:rPr>
          <w:rFonts w:hint="eastAsia" w:ascii="仿宋_GB2312" w:eastAsia="仿宋_GB2312" w:cs="Times New Roman"/>
          <w:sz w:val="32"/>
          <w:szCs w:val="32"/>
        </w:rPr>
        <w:t>投资方式：</w:t>
      </w:r>
      <w:r>
        <w:rPr>
          <w:rFonts w:hint="eastAsia" w:ascii="仿宋_GB2312" w:hAnsi="Times New Roman" w:eastAsia="仿宋_GB2312" w:cs="Times New Roman"/>
          <w:sz w:val="32"/>
          <w:szCs w:val="32"/>
        </w:rPr>
        <w:t>原则上以可转债投资、股权投资为主；</w:t>
      </w:r>
    </w:p>
    <w:p>
      <w:pPr>
        <w:keepNext w:val="0"/>
        <w:keepLines w:val="0"/>
        <w:pageBreakBefore w:val="0"/>
        <w:kinsoku/>
        <w:wordWrap/>
        <w:overflowPunct/>
        <w:autoSpaceDE/>
        <w:autoSpaceDN/>
        <w:bidi w:val="0"/>
        <w:adjustRightInd w:val="0"/>
        <w:snapToGrid w:val="0"/>
        <w:spacing w:line="540" w:lineRule="exact"/>
        <w:ind w:right="0" w:rightChars="0" w:firstLine="640" w:firstLineChars="200"/>
        <w:textAlignment w:val="auto"/>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三</w:t>
      </w:r>
      <w:r>
        <w:rPr>
          <w:rFonts w:hint="eastAsia" w:ascii="仿宋_GB2312" w:eastAsia="仿宋_GB2312"/>
          <w:sz w:val="32"/>
          <w:szCs w:val="32"/>
        </w:rPr>
        <w:t>）设立形式：以有限合伙或</w:t>
      </w:r>
      <w:bookmarkStart w:id="2" w:name="_Hlk9113308"/>
      <w:r>
        <w:rPr>
          <w:rFonts w:hint="eastAsia" w:ascii="仿宋_GB2312" w:eastAsia="仿宋_GB2312"/>
          <w:sz w:val="32"/>
          <w:szCs w:val="32"/>
        </w:rPr>
        <w:t>公司制</w:t>
      </w:r>
      <w:bookmarkEnd w:id="2"/>
      <w:r>
        <w:rPr>
          <w:rFonts w:hint="eastAsia" w:ascii="仿宋_GB2312" w:eastAsia="仿宋_GB2312"/>
          <w:sz w:val="32"/>
          <w:szCs w:val="32"/>
        </w:rPr>
        <w:t>方式设立；</w:t>
      </w:r>
    </w:p>
    <w:p>
      <w:pPr>
        <w:keepNext w:val="0"/>
        <w:keepLines w:val="0"/>
        <w:pageBreakBefore w:val="0"/>
        <w:kinsoku/>
        <w:wordWrap/>
        <w:overflowPunct/>
        <w:autoSpaceDE/>
        <w:autoSpaceDN/>
        <w:bidi w:val="0"/>
        <w:adjustRightInd w:val="0"/>
        <w:snapToGrid w:val="0"/>
        <w:spacing w:line="540" w:lineRule="exact"/>
        <w:ind w:right="0" w:rightChars="0" w:firstLine="640" w:firstLineChars="200"/>
        <w:textAlignment w:val="auto"/>
        <w:rPr>
          <w:rFonts w:ascii="仿宋_GB2312" w:hAnsi="仿宋_GB2312" w:eastAsia="仿宋_GB2312" w:cs="仿宋_GB2312"/>
          <w:sz w:val="32"/>
          <w:szCs w:val="36"/>
          <w:lang w:bidi="ar"/>
        </w:rPr>
      </w:pPr>
      <w:r>
        <w:rPr>
          <w:rFonts w:hint="eastAsia" w:ascii="仿宋_GB2312" w:eastAsia="仿宋_GB2312"/>
          <w:sz w:val="32"/>
          <w:szCs w:val="32"/>
        </w:rPr>
        <w:t>（</w:t>
      </w:r>
      <w:r>
        <w:rPr>
          <w:rFonts w:hint="eastAsia" w:ascii="仿宋_GB2312" w:eastAsia="仿宋_GB2312"/>
          <w:sz w:val="32"/>
          <w:szCs w:val="32"/>
          <w:lang w:eastAsia="zh-CN"/>
        </w:rPr>
        <w:t>四</w:t>
      </w:r>
      <w:r>
        <w:rPr>
          <w:rFonts w:hint="eastAsia" w:ascii="仿宋_GB2312" w:eastAsia="仿宋_GB2312"/>
          <w:sz w:val="32"/>
          <w:szCs w:val="32"/>
        </w:rPr>
        <w:t>）存续</w:t>
      </w:r>
      <w:r>
        <w:rPr>
          <w:rFonts w:hint="eastAsia" w:ascii="仿宋_GB2312" w:hAnsi="仿宋_GB2312" w:eastAsia="仿宋_GB2312" w:cs="仿宋_GB2312"/>
          <w:sz w:val="32"/>
          <w:szCs w:val="36"/>
          <w:lang w:bidi="ar"/>
        </w:rPr>
        <w:t>期限</w:t>
      </w:r>
      <w:r>
        <w:rPr>
          <w:rFonts w:hint="eastAsia" w:ascii="仿宋_GB2312" w:hAnsi="仿宋_GB2312" w:eastAsia="仿宋_GB2312" w:cs="仿宋_GB2312"/>
          <w:sz w:val="32"/>
          <w:szCs w:val="36"/>
          <w:lang w:eastAsia="zh-CN" w:bidi="ar"/>
        </w:rPr>
        <w:t>：直投子基金存续期原则上</w:t>
      </w:r>
      <w:r>
        <w:rPr>
          <w:rFonts w:hint="eastAsia" w:ascii="仿宋_GB2312" w:hAnsi="仿宋_GB2312" w:eastAsia="仿宋_GB2312" w:cs="仿宋_GB2312"/>
          <w:sz w:val="32"/>
          <w:szCs w:val="36"/>
          <w:lang w:bidi="ar"/>
        </w:rPr>
        <w:t>不超过7年；</w:t>
      </w:r>
      <w:r>
        <w:rPr>
          <w:rFonts w:hint="eastAsia" w:ascii="仿宋_GB2312" w:hAnsi="仿宋_GB2312" w:eastAsia="仿宋_GB2312" w:cs="仿宋_GB2312"/>
          <w:sz w:val="32"/>
          <w:szCs w:val="32"/>
        </w:rPr>
        <w:t>其中投资期</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年，退出期3年</w:t>
      </w:r>
      <w:r>
        <w:rPr>
          <w:rFonts w:hint="eastAsia" w:ascii="仿宋_GB2312" w:hAnsi="仿宋_GB2312" w:eastAsia="仿宋_GB2312" w:cs="仿宋_GB2312"/>
          <w:sz w:val="32"/>
          <w:szCs w:val="32"/>
          <w:lang w:eastAsia="zh-CN"/>
        </w:rPr>
        <w:t>；</w:t>
      </w:r>
      <w:r>
        <w:rPr>
          <w:rFonts w:hint="eastAsia" w:ascii="仿宋_GB2312" w:eastAsia="仿宋_GB2312"/>
          <w:sz w:val="32"/>
          <w:szCs w:val="32"/>
        </w:rPr>
        <w:t>确需超过7年的，</w:t>
      </w:r>
      <w:r>
        <w:rPr>
          <w:rFonts w:hint="eastAsia" w:ascii="仿宋_GB2312" w:eastAsia="仿宋_GB2312"/>
          <w:sz w:val="32"/>
          <w:szCs w:val="32"/>
          <w:lang w:eastAsia="zh-CN"/>
        </w:rPr>
        <w:t>在</w:t>
      </w:r>
      <w:r>
        <w:rPr>
          <w:rFonts w:hint="eastAsia" w:ascii="仿宋_GB2312" w:hAnsi="仿宋_GB2312" w:eastAsia="仿宋_GB2312" w:cs="仿宋_GB2312"/>
          <w:sz w:val="32"/>
          <w:szCs w:val="32"/>
        </w:rPr>
        <w:t>基金存续期满前可根据需要经</w:t>
      </w:r>
      <w:r>
        <w:rPr>
          <w:rFonts w:hint="eastAsia" w:ascii="仿宋_GB2312" w:eastAsia="仿宋_GB2312"/>
          <w:sz w:val="32"/>
          <w:szCs w:val="32"/>
        </w:rPr>
        <w:t>引导基金投资决策委员会</w:t>
      </w:r>
      <w:r>
        <w:rPr>
          <w:rFonts w:hint="eastAsia" w:ascii="仿宋_GB2312" w:hAnsi="仿宋_GB2312" w:eastAsia="仿宋_GB2312" w:cs="仿宋_GB2312"/>
          <w:sz w:val="32"/>
          <w:szCs w:val="32"/>
        </w:rPr>
        <w:t>同意</w:t>
      </w:r>
      <w:r>
        <w:rPr>
          <w:rFonts w:hint="eastAsia" w:ascii="仿宋_GB2312" w:hAnsi="仿宋_GB2312" w:eastAsia="仿宋_GB2312" w:cs="仿宋_GB2312"/>
          <w:sz w:val="32"/>
          <w:szCs w:val="32"/>
          <w:lang w:eastAsia="zh-CN"/>
        </w:rPr>
        <w:t>最长</w:t>
      </w:r>
      <w:r>
        <w:rPr>
          <w:rFonts w:hint="eastAsia" w:ascii="仿宋_GB2312" w:hAnsi="仿宋_GB2312" w:eastAsia="仿宋_GB2312" w:cs="仿宋_GB2312"/>
          <w:sz w:val="32"/>
          <w:szCs w:val="32"/>
        </w:rPr>
        <w:t>延期2年。子基金存续期需在母基金存续期范围内</w:t>
      </w:r>
      <w:r>
        <w:rPr>
          <w:rFonts w:hint="eastAsia" w:ascii="仿宋_GB2312" w:hAnsi="仿宋_GB2312" w:eastAsia="仿宋_GB2312" w:cs="仿宋_GB2312"/>
          <w:sz w:val="32"/>
          <w:szCs w:val="32"/>
          <w:lang w:eastAsia="zh-CN"/>
        </w:rPr>
        <w:t>。</w:t>
      </w:r>
    </w:p>
    <w:p>
      <w:pPr>
        <w:keepNext w:val="0"/>
        <w:keepLines w:val="0"/>
        <w:pageBreakBefore w:val="0"/>
        <w:kinsoku/>
        <w:wordWrap/>
        <w:overflowPunct/>
        <w:autoSpaceDE/>
        <w:autoSpaceDN/>
        <w:bidi w:val="0"/>
        <w:adjustRightInd w:val="0"/>
        <w:snapToGrid w:val="0"/>
        <w:spacing w:line="540" w:lineRule="exact"/>
        <w:ind w:right="0" w:rightChars="0" w:firstLine="640" w:firstLineChars="200"/>
        <w:textAlignment w:val="auto"/>
        <w:rPr>
          <w:rFonts w:ascii="仿宋_GB2312" w:eastAsia="仿宋_GB2312"/>
          <w:sz w:val="32"/>
          <w:szCs w:val="32"/>
        </w:rPr>
      </w:pPr>
      <w:r>
        <w:rPr>
          <w:rFonts w:hint="eastAsia" w:ascii="仿宋_GB2312" w:hAnsi="仿宋_GB2312" w:eastAsia="仿宋_GB2312" w:cs="仿宋_GB2312"/>
          <w:sz w:val="32"/>
          <w:szCs w:val="36"/>
          <w:lang w:bidi="ar"/>
        </w:rPr>
        <w:t>（</w:t>
      </w:r>
      <w:r>
        <w:rPr>
          <w:rFonts w:hint="eastAsia" w:ascii="仿宋_GB2312" w:hAnsi="仿宋_GB2312" w:eastAsia="仿宋_GB2312" w:cs="仿宋_GB2312"/>
          <w:sz w:val="32"/>
          <w:szCs w:val="36"/>
          <w:lang w:eastAsia="zh-CN" w:bidi="ar"/>
        </w:rPr>
        <w:t>五</w:t>
      </w:r>
      <w:r>
        <w:rPr>
          <w:rFonts w:hint="eastAsia" w:ascii="仿宋_GB2312" w:hAnsi="仿宋_GB2312" w:eastAsia="仿宋_GB2312" w:cs="仿宋_GB2312"/>
          <w:sz w:val="32"/>
          <w:szCs w:val="36"/>
          <w:lang w:bidi="ar"/>
        </w:rPr>
        <w:t>）投向限制：</w:t>
      </w:r>
      <w:bookmarkStart w:id="3" w:name="_Hlk9113494"/>
      <w:r>
        <w:rPr>
          <w:rFonts w:hint="eastAsia" w:ascii="仿宋_GB2312" w:hAnsi="仿宋_GB2312" w:eastAsia="仿宋_GB2312" w:cs="仿宋_GB2312"/>
          <w:sz w:val="32"/>
          <w:szCs w:val="36"/>
          <w:lang w:bidi="ar"/>
        </w:rPr>
        <w:t>直投子基金100%用于投资佛山市内或确定落户佛山市的项目；对单个企业或项目只进行一次投资，</w:t>
      </w:r>
      <w:r>
        <w:rPr>
          <w:rFonts w:ascii="FangSong_GB2312" w:hAnsi="FangSong_GB2312" w:eastAsia="FangSong_GB2312" w:cs="FangSong_GB2312"/>
          <w:sz w:val="32"/>
          <w:szCs w:val="32"/>
          <w:lang w:val="zh-TW" w:eastAsia="zh-TW"/>
        </w:rPr>
        <w:t>投资金额</w:t>
      </w:r>
      <w:r>
        <w:rPr>
          <w:rFonts w:ascii="FangSong_GB2312" w:hAnsi="FangSong_GB2312" w:eastAsia="FangSong_GB2312" w:cs="FangSong_GB2312"/>
          <w:color w:val="000000" w:themeColor="text1"/>
          <w:sz w:val="32"/>
          <w:szCs w:val="32"/>
          <w:u w:color="FF0000"/>
          <w:lang w:val="zh-TW" w:eastAsia="zh-TW"/>
          <w14:textFill>
            <w14:solidFill>
              <w14:schemeClr w14:val="tx1"/>
            </w14:solidFill>
          </w14:textFill>
        </w:rPr>
        <w:t>不超过直投子基金规模的</w:t>
      </w:r>
      <w:r>
        <w:rPr>
          <w:rFonts w:ascii="FangSong_GB2312" w:hAnsi="FangSong_GB2312" w:eastAsia="FangSong_GB2312" w:cs="FangSong_GB2312"/>
          <w:color w:val="000000" w:themeColor="text1"/>
          <w:sz w:val="32"/>
          <w:szCs w:val="32"/>
          <w:u w:color="FF0000"/>
          <w:lang w:val="en-US"/>
          <w14:textFill>
            <w14:solidFill>
              <w14:schemeClr w14:val="tx1"/>
            </w14:solidFill>
          </w14:textFill>
        </w:rPr>
        <w:t>20%</w:t>
      </w:r>
      <w:r>
        <w:rPr>
          <w:rFonts w:ascii="FangSong_GB2312" w:hAnsi="FangSong_GB2312" w:eastAsia="FangSong_GB2312" w:cs="FangSong_GB2312"/>
          <w:color w:val="000000" w:themeColor="text1"/>
          <w:sz w:val="32"/>
          <w:szCs w:val="32"/>
          <w:u w:color="FF0000"/>
          <w:lang w:val="zh-TW" w:eastAsia="zh-TW"/>
          <w14:textFill>
            <w14:solidFill>
              <w14:schemeClr w14:val="tx1"/>
            </w14:solidFill>
          </w14:textFill>
        </w:rPr>
        <w:t>，超过该比例的投资，报</w:t>
      </w:r>
      <w:r>
        <w:rPr>
          <w:rFonts w:hint="eastAsia" w:ascii="仿宋_GB2312" w:hAnsi="仿宋_GB2312" w:eastAsia="仿宋_GB2312" w:cs="仿宋_GB2312"/>
          <w:sz w:val="32"/>
          <w:szCs w:val="36"/>
          <w:lang w:bidi="ar"/>
        </w:rPr>
        <w:t>引导基金投资决策委员会</w:t>
      </w:r>
      <w:r>
        <w:rPr>
          <w:rFonts w:ascii="FangSong_GB2312" w:hAnsi="FangSong_GB2312" w:eastAsia="FangSong_GB2312" w:cs="FangSong_GB2312"/>
          <w:color w:val="000000" w:themeColor="text1"/>
          <w:sz w:val="32"/>
          <w:szCs w:val="32"/>
          <w:u w:color="FF0000"/>
          <w:lang w:val="zh-TW" w:eastAsia="zh-TW"/>
          <w14:textFill>
            <w14:solidFill>
              <w14:schemeClr w14:val="tx1"/>
            </w14:solidFill>
          </w14:textFill>
        </w:rPr>
        <w:t>批准</w:t>
      </w:r>
      <w:r>
        <w:rPr>
          <w:rFonts w:hint="eastAsia" w:ascii="FangSong_GB2312" w:hAnsi="FangSong_GB2312" w:eastAsia="FangSong_GB2312" w:cs="FangSong_GB2312"/>
          <w:color w:val="000000" w:themeColor="text1"/>
          <w:sz w:val="32"/>
          <w:szCs w:val="32"/>
          <w:u w:color="FF0000"/>
          <w:lang w:val="zh-TW" w:eastAsia="zh-CN"/>
          <w14:textFill>
            <w14:solidFill>
              <w14:schemeClr w14:val="tx1"/>
            </w14:solidFill>
          </w14:textFill>
        </w:rPr>
        <w:t>；</w:t>
      </w:r>
      <w:r>
        <w:rPr>
          <w:rFonts w:hint="eastAsia" w:ascii="仿宋_GB2312" w:hAnsi="仿宋_GB2312" w:eastAsia="仿宋_GB2312" w:cs="仿宋_GB2312"/>
          <w:sz w:val="32"/>
          <w:szCs w:val="36"/>
          <w:lang w:bidi="ar"/>
        </w:rPr>
        <w:t>持股比例不超过</w:t>
      </w:r>
      <w:r>
        <w:rPr>
          <w:rFonts w:hint="eastAsia" w:ascii="仿宋_GB2312" w:eastAsia="仿宋_GB2312"/>
          <w:sz w:val="32"/>
          <w:szCs w:val="32"/>
        </w:rPr>
        <w:t>被投资企业</w:t>
      </w:r>
      <w:r>
        <w:rPr>
          <w:rFonts w:hint="eastAsia" w:ascii="仿宋_GB2312" w:eastAsia="仿宋_GB2312"/>
          <w:sz w:val="32"/>
          <w:szCs w:val="32"/>
          <w:lang w:eastAsia="zh-CN"/>
        </w:rPr>
        <w:t>或项目</w:t>
      </w:r>
      <w:r>
        <w:rPr>
          <w:rFonts w:hint="eastAsia" w:ascii="仿宋_GB2312" w:eastAsia="仿宋_GB2312"/>
          <w:sz w:val="32"/>
          <w:szCs w:val="32"/>
        </w:rPr>
        <w:t>总股权的</w:t>
      </w:r>
      <w:r>
        <w:rPr>
          <w:rFonts w:hint="eastAsia" w:ascii="仿宋_GB2312" w:hAnsi="仿宋_GB2312" w:eastAsia="仿宋_GB2312" w:cs="仿宋_GB2312"/>
          <w:sz w:val="32"/>
          <w:szCs w:val="36"/>
          <w:lang w:bidi="ar"/>
        </w:rPr>
        <w:t>30%，且不为第一大股东或实际控制人；</w:t>
      </w:r>
      <w:r>
        <w:rPr>
          <w:rFonts w:hint="eastAsia" w:ascii="仿宋_GB2312" w:hAnsi="仿宋_GB2312" w:eastAsia="仿宋_GB2312" w:cs="仿宋_GB2312"/>
          <w:sz w:val="32"/>
          <w:szCs w:val="36"/>
          <w:lang w:eastAsia="zh-CN" w:bidi="ar"/>
        </w:rPr>
        <w:t>单个企业或项目</w:t>
      </w:r>
      <w:r>
        <w:rPr>
          <w:rFonts w:hint="eastAsia" w:ascii="仿宋_GB2312" w:hAnsi="仿宋_GB2312" w:eastAsia="仿宋_GB2312" w:cs="仿宋_GB2312"/>
          <w:sz w:val="32"/>
          <w:szCs w:val="36"/>
          <w:lang w:bidi="ar"/>
        </w:rPr>
        <w:t>投资期限原则上不超过5年，</w:t>
      </w:r>
      <w:r>
        <w:rPr>
          <w:rFonts w:hint="eastAsia" w:ascii="仿宋_GB2312" w:hAnsi="仿宋_GB2312" w:eastAsia="仿宋_GB2312" w:cs="仿宋_GB2312"/>
          <w:sz w:val="32"/>
          <w:szCs w:val="32"/>
        </w:rPr>
        <w:t>其中投资期</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年，退出期</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6"/>
          <w:lang w:bidi="ar"/>
        </w:rPr>
        <w:t>到期如确需延长的，经报引导基金投资决策委员会批准同意后，可视实际情况展期，最高不得超过基金存续期。</w:t>
      </w:r>
      <w:bookmarkEnd w:id="3"/>
    </w:p>
    <w:p>
      <w:pPr>
        <w:pStyle w:val="8"/>
        <w:keepNext w:val="0"/>
        <w:keepLines w:val="0"/>
        <w:pageBreakBefore w:val="0"/>
        <w:shd w:val="clear" w:color="auto" w:fill="FFFFFF"/>
        <w:kinsoku/>
        <w:wordWrap/>
        <w:overflowPunct/>
        <w:autoSpaceDE/>
        <w:autoSpaceDN/>
        <w:bidi w:val="0"/>
        <w:spacing w:line="540" w:lineRule="exact"/>
        <w:ind w:right="0" w:rightChars="0" w:firstLine="640" w:firstLineChars="200"/>
        <w:jc w:val="both"/>
        <w:textAlignment w:val="auto"/>
        <w:rPr>
          <w:rFonts w:hint="eastAsia" w:ascii="仿宋_GB2312" w:hAnsi="仿宋_GB2312" w:eastAsia="仿宋_GB2312" w:cs="仿宋_GB2312"/>
          <w:color w:val="040404"/>
          <w:sz w:val="32"/>
          <w:szCs w:val="32"/>
          <w:shd w:val="clear" w:color="auto" w:fill="FFFFFF"/>
          <w:lang w:eastAsia="zh-CN"/>
        </w:rPr>
      </w:pPr>
      <w:r>
        <w:rPr>
          <w:rFonts w:hint="eastAsia" w:ascii="仿宋_GB2312" w:eastAsia="仿宋_GB2312"/>
          <w:sz w:val="32"/>
          <w:szCs w:val="32"/>
        </w:rPr>
        <w:t>（</w:t>
      </w:r>
      <w:r>
        <w:rPr>
          <w:rFonts w:hint="eastAsia" w:ascii="仿宋_GB2312" w:eastAsia="仿宋_GB2312"/>
          <w:sz w:val="32"/>
          <w:szCs w:val="32"/>
          <w:lang w:eastAsia="zh-CN"/>
        </w:rPr>
        <w:t>六</w:t>
      </w:r>
      <w:r>
        <w:rPr>
          <w:rFonts w:hint="eastAsia" w:ascii="仿宋_GB2312" w:eastAsia="仿宋_GB2312"/>
          <w:sz w:val="32"/>
          <w:szCs w:val="32"/>
        </w:rPr>
        <w:t>）</w:t>
      </w:r>
      <w:r>
        <w:rPr>
          <w:rFonts w:hint="eastAsia" w:ascii="仿宋_GB2312" w:eastAsia="仿宋_GB2312"/>
          <w:sz w:val="32"/>
          <w:szCs w:val="32"/>
          <w:lang w:eastAsia="zh-CN"/>
        </w:rPr>
        <w:t>投资程序：</w:t>
      </w:r>
      <w:r>
        <w:rPr>
          <w:rFonts w:hint="eastAsia" w:ascii="仿宋_GB2312" w:eastAsia="仿宋_GB2312"/>
          <w:sz w:val="32"/>
          <w:szCs w:val="32"/>
        </w:rPr>
        <w:t>直投子基金</w:t>
      </w:r>
      <w:r>
        <w:rPr>
          <w:rFonts w:hint="eastAsia" w:ascii="仿宋_GB2312" w:eastAsia="仿宋_GB2312"/>
          <w:sz w:val="32"/>
          <w:szCs w:val="32"/>
          <w:lang w:eastAsia="zh-CN"/>
        </w:rPr>
        <w:t>采取</w:t>
      </w:r>
      <w:r>
        <w:rPr>
          <w:rFonts w:hint="eastAsia" w:ascii="仿宋_GB2312" w:hAnsi="仿宋_GB2312" w:eastAsia="仿宋_GB2312" w:cs="仿宋_GB2312"/>
          <w:color w:val="040404"/>
          <w:sz w:val="32"/>
          <w:szCs w:val="32"/>
          <w:shd w:val="clear" w:color="auto" w:fill="FFFFFF"/>
          <w:lang w:eastAsia="zh-CN"/>
        </w:rPr>
        <w:t>申报制和推荐制进行项目投资。</w:t>
      </w:r>
    </w:p>
    <w:p>
      <w:pPr>
        <w:pStyle w:val="8"/>
        <w:shd w:val="clear" w:color="auto" w:fill="FFFFFF"/>
        <w:spacing w:beforeLines="0" w:afterLines="0" w:line="54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申报制：由业务主管部门和基金管理公司发布项目申报指南；</w:t>
      </w:r>
      <w:r>
        <w:rPr>
          <w:rFonts w:hint="eastAsia" w:ascii="仿宋_GB2312" w:hAnsi="仿宋_GB2312" w:eastAsia="仿宋_GB2312" w:cs="仿宋_GB2312"/>
          <w:sz w:val="32"/>
          <w:szCs w:val="32"/>
        </w:rPr>
        <w:t>符合条件的企业和团队按照申报指南要求提交申请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鼓励创业投资机构、银行和其他金融机构等推荐符合条件的单位申请；；</w:t>
      </w:r>
      <w:r>
        <w:rPr>
          <w:rFonts w:hint="eastAsia" w:ascii="仿宋_GB2312" w:hAnsi="仿宋_GB2312" w:eastAsia="仿宋_GB2312" w:cs="仿宋_GB2312"/>
          <w:sz w:val="32"/>
          <w:szCs w:val="32"/>
          <w:lang w:eastAsia="zh-CN"/>
        </w:rPr>
        <w:t>基金</w:t>
      </w:r>
      <w:r>
        <w:rPr>
          <w:rFonts w:hint="eastAsia" w:ascii="仿宋_GB2312" w:hAnsi="仿宋_GB2312" w:eastAsia="仿宋_GB2312" w:cs="仿宋_GB2312"/>
          <w:sz w:val="32"/>
          <w:szCs w:val="32"/>
        </w:rPr>
        <w:t>管理</w:t>
      </w:r>
      <w:r>
        <w:rPr>
          <w:rFonts w:hint="eastAsia" w:ascii="仿宋_GB2312" w:hAnsi="仿宋_GB2312" w:eastAsia="仿宋_GB2312" w:cs="仿宋_GB2312"/>
          <w:sz w:val="32"/>
          <w:szCs w:val="32"/>
          <w:lang w:eastAsia="zh-CN"/>
        </w:rPr>
        <w:t>公司</w:t>
      </w:r>
      <w:r>
        <w:rPr>
          <w:rFonts w:hint="eastAsia" w:ascii="仿宋_GB2312" w:hAnsi="仿宋_GB2312" w:eastAsia="仿宋_GB2312" w:cs="仿宋_GB2312"/>
          <w:sz w:val="32"/>
          <w:szCs w:val="32"/>
        </w:rPr>
        <w:t>对申报项目开展资料审核、尽职调查、</w:t>
      </w:r>
      <w:r>
        <w:rPr>
          <w:rFonts w:hint="eastAsia" w:ascii="仿宋_GB2312" w:hAnsi="仿宋_GB2312" w:eastAsia="仿宋_GB2312" w:cs="仿宋_GB2312"/>
          <w:sz w:val="32"/>
          <w:szCs w:val="32"/>
          <w:lang w:eastAsia="zh-CN"/>
        </w:rPr>
        <w:t>内部审议</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eastAsia="zh-CN"/>
        </w:rPr>
        <w:t>，形成拟投资项目方案</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基金管理公司将</w:t>
      </w:r>
      <w:r>
        <w:rPr>
          <w:rFonts w:hint="eastAsia" w:ascii="仿宋_GB2312" w:hAnsi="仿宋_GB2312" w:eastAsia="仿宋_GB2312" w:cs="仿宋_GB2312"/>
          <w:sz w:val="32"/>
          <w:szCs w:val="32"/>
        </w:rPr>
        <w:t>拟投资</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方案提交至基金决策委员会进行最终决策</w:t>
      </w:r>
      <w:r>
        <w:rPr>
          <w:rFonts w:hint="eastAsia" w:ascii="仿宋_GB2312" w:hAnsi="仿宋_GB2312" w:eastAsia="仿宋_GB2312" w:cs="仿宋_GB2312"/>
          <w:sz w:val="32"/>
          <w:szCs w:val="32"/>
          <w:lang w:eastAsia="zh-CN"/>
        </w:rPr>
        <w:t>；获基金决策委员会同意的项目，由基金</w:t>
      </w:r>
      <w:r>
        <w:rPr>
          <w:rFonts w:hint="eastAsia" w:ascii="仿宋_GB2312" w:hAnsi="仿宋_GB2312" w:eastAsia="仿宋_GB2312" w:cs="仿宋_GB2312"/>
          <w:sz w:val="32"/>
          <w:szCs w:val="32"/>
        </w:rPr>
        <w:t>管理</w:t>
      </w:r>
      <w:r>
        <w:rPr>
          <w:rFonts w:hint="eastAsia" w:ascii="仿宋_GB2312" w:hAnsi="仿宋_GB2312" w:eastAsia="仿宋_GB2312" w:cs="仿宋_GB2312"/>
          <w:sz w:val="32"/>
          <w:szCs w:val="32"/>
          <w:lang w:eastAsia="zh-CN"/>
        </w:rPr>
        <w:t>公司</w:t>
      </w:r>
      <w:r>
        <w:rPr>
          <w:rFonts w:hint="eastAsia" w:ascii="仿宋_GB2312" w:hAnsi="仿宋_GB2312" w:eastAsia="仿宋_GB2312" w:cs="仿宋_GB2312"/>
          <w:sz w:val="32"/>
          <w:szCs w:val="32"/>
        </w:rPr>
        <w:t>与拟投资单位签订投资协议，与责任股东约定股权处置事项，办理股权变更登记，组织项目实施和监督管理</w:t>
      </w:r>
      <w:r>
        <w:rPr>
          <w:rFonts w:hint="eastAsia" w:ascii="仿宋_GB2312" w:hAnsi="仿宋_GB2312" w:eastAsia="仿宋_GB2312" w:cs="仿宋_GB2312"/>
          <w:sz w:val="32"/>
          <w:szCs w:val="32"/>
          <w:lang w:eastAsia="zh-CN"/>
        </w:rPr>
        <w:t>。</w:t>
      </w:r>
    </w:p>
    <w:p>
      <w:pPr>
        <w:pStyle w:val="8"/>
        <w:shd w:val="clear" w:color="auto" w:fill="FFFFFF"/>
        <w:spacing w:beforeLines="-2147483648" w:afterLines="-2147483648" w:line="540" w:lineRule="exact"/>
        <w:ind w:firstLine="640" w:firstLineChars="200"/>
        <w:jc w:val="left"/>
        <w:rPr>
          <w:rFonts w:ascii="仿宋_GB2312" w:eastAsia="仿宋_GB2312"/>
          <w:szCs w:val="32"/>
          <w:lang w:bidi="ar"/>
        </w:rPr>
      </w:pPr>
      <w:r>
        <w:rPr>
          <w:rFonts w:hint="eastAsia" w:ascii="仿宋_GB2312" w:hAnsi="仿宋_GB2312" w:eastAsia="仿宋_GB2312" w:cs="仿宋_GB2312"/>
          <w:sz w:val="32"/>
          <w:szCs w:val="32"/>
          <w:lang w:val="en-US" w:eastAsia="zh-CN"/>
        </w:rPr>
        <w:t>2.推荐制：</w:t>
      </w:r>
      <w:r>
        <w:rPr>
          <w:rFonts w:hint="eastAsia" w:ascii="仿宋_GB2312" w:hAnsi="仿宋_GB2312" w:eastAsia="仿宋_GB2312" w:cs="仿宋_GB2312"/>
          <w:sz w:val="32"/>
          <w:szCs w:val="32"/>
        </w:rPr>
        <w:t>业务主管部门和基金管理公司均有权推荐。业务主管部门</w:t>
      </w:r>
      <w:r>
        <w:rPr>
          <w:rFonts w:hint="eastAsia" w:ascii="仿宋_GB2312" w:hAnsi="仿宋_GB2312" w:eastAsia="仿宋_GB2312" w:cs="仿宋_GB2312"/>
          <w:sz w:val="32"/>
          <w:szCs w:val="32"/>
          <w:lang w:eastAsia="zh-CN"/>
        </w:rPr>
        <w:t>开展技术评判、</w:t>
      </w:r>
      <w:r>
        <w:rPr>
          <w:rFonts w:hint="eastAsia" w:ascii="仿宋_GB2312" w:hAnsi="仿宋_GB2312" w:eastAsia="仿宋_GB2312" w:cs="仿宋_GB2312"/>
          <w:sz w:val="32"/>
          <w:szCs w:val="32"/>
        </w:rPr>
        <w:t>前置审核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基金管理公司进行尽职调查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内部审议等</w:t>
      </w:r>
      <w:r>
        <w:rPr>
          <w:rFonts w:hint="eastAsia" w:ascii="仿宋_GB2312" w:hAnsi="仿宋_GB2312" w:eastAsia="仿宋_GB2312" w:cs="仿宋_GB2312"/>
          <w:sz w:val="32"/>
          <w:szCs w:val="32"/>
          <w:lang w:eastAsia="zh-CN"/>
        </w:rPr>
        <w:t>，形成拟投资项目方案；基金管理公司将</w:t>
      </w:r>
      <w:r>
        <w:rPr>
          <w:rFonts w:hint="eastAsia" w:ascii="仿宋_GB2312" w:hAnsi="仿宋_GB2312" w:eastAsia="仿宋_GB2312" w:cs="仿宋_GB2312"/>
          <w:sz w:val="32"/>
          <w:szCs w:val="32"/>
        </w:rPr>
        <w:t>拟投资</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方案提交至基金决策委员会进行最终决策。</w:t>
      </w:r>
      <w:r>
        <w:rPr>
          <w:rFonts w:hint="eastAsia" w:ascii="仿宋_GB2312" w:hAnsi="仿宋_GB2312" w:eastAsia="仿宋_GB2312" w:cs="仿宋_GB2312"/>
          <w:sz w:val="32"/>
          <w:szCs w:val="32"/>
          <w:lang w:eastAsia="zh-CN"/>
        </w:rPr>
        <w:t>业务主管部门和基金管理公司</w:t>
      </w:r>
      <w:r>
        <w:rPr>
          <w:rFonts w:hint="eastAsia" w:ascii="仿宋_GB2312" w:hAnsi="仿宋_GB2312" w:eastAsia="仿宋_GB2312" w:cs="仿宋_GB2312"/>
          <w:sz w:val="32"/>
          <w:szCs w:val="32"/>
        </w:rPr>
        <w:t>如在投资流程任何一个环节认为投资时机或企业发展情况不成熟，均可否决项目。</w:t>
      </w:r>
    </w:p>
    <w:p>
      <w:pPr>
        <w:keepNext w:val="0"/>
        <w:keepLines w:val="0"/>
        <w:pageBreakBefore w:val="0"/>
        <w:kinsoku/>
        <w:wordWrap/>
        <w:overflowPunct/>
        <w:autoSpaceDE/>
        <w:autoSpaceDN/>
        <w:bidi w:val="0"/>
        <w:spacing w:line="540" w:lineRule="exact"/>
        <w:ind w:right="0" w:rightChars="0" w:firstLine="640" w:firstLineChars="200"/>
        <w:jc w:val="left"/>
        <w:textAlignment w:val="auto"/>
        <w:rPr>
          <w:rFonts w:ascii="仿宋_GB2312" w:eastAsia="仿宋_GB2312"/>
          <w:sz w:val="32"/>
          <w:szCs w:val="32"/>
          <w:lang w:bidi="ar"/>
        </w:rPr>
      </w:pPr>
      <w:r>
        <w:rPr>
          <w:rFonts w:hint="eastAsia" w:ascii="仿宋_GB2312" w:eastAsia="仿宋_GB2312"/>
          <w:sz w:val="32"/>
          <w:szCs w:val="32"/>
        </w:rPr>
        <w:t>直投子基金的</w:t>
      </w:r>
      <w:r>
        <w:rPr>
          <w:rFonts w:hint="eastAsia" w:ascii="仿宋_GB2312" w:eastAsia="仿宋_GB2312"/>
          <w:sz w:val="32"/>
          <w:szCs w:val="32"/>
          <w:lang w:bidi="ar"/>
        </w:rPr>
        <w:t>管理细则由业务主管部门另行制定、报引导基金投资决策委员会审议。</w:t>
      </w:r>
    </w:p>
    <w:p>
      <w:pPr>
        <w:keepNext w:val="0"/>
        <w:keepLines w:val="0"/>
        <w:pageBreakBefore w:val="0"/>
        <w:kinsoku/>
        <w:wordWrap/>
        <w:overflowPunct/>
        <w:autoSpaceDE/>
        <w:autoSpaceDN/>
        <w:bidi w:val="0"/>
        <w:spacing w:line="540" w:lineRule="exact"/>
        <w:ind w:right="0" w:rightChars="0" w:firstLine="560" w:firstLineChars="200"/>
        <w:jc w:val="left"/>
        <w:textAlignment w:val="auto"/>
        <w:rPr>
          <w:rFonts w:ascii="仿宋_GB2312" w:eastAsia="仿宋_GB2312"/>
          <w:sz w:val="32"/>
          <w:szCs w:val="32"/>
        </w:rPr>
      </w:pPr>
      <w:r>
        <w:rPr>
          <w:rFonts w:hint="eastAsia" w:ascii="楷体" w:hAnsi="楷体" w:eastAsia="楷体" w:cs="楷体"/>
          <w:sz w:val="28"/>
          <w:szCs w:val="28"/>
        </w:rPr>
        <w:t>【编制说明】对政府投资基金的直投子基金的管理方式和管理要求。</w:t>
      </w:r>
    </w:p>
    <w:p>
      <w:pPr>
        <w:keepNext w:val="0"/>
        <w:keepLines w:val="0"/>
        <w:pageBreakBefore w:val="0"/>
        <w:kinsoku/>
        <w:wordWrap/>
        <w:overflowPunct/>
        <w:autoSpaceDE/>
        <w:autoSpaceDN/>
        <w:bidi w:val="0"/>
        <w:adjustRightInd w:val="0"/>
        <w:snapToGrid w:val="0"/>
        <w:spacing w:line="540" w:lineRule="exact"/>
        <w:ind w:right="0" w:rightChars="0"/>
        <w:jc w:val="center"/>
        <w:textAlignment w:val="auto"/>
        <w:outlineLvl w:val="0"/>
        <w:rPr>
          <w:rFonts w:ascii="黑体" w:hAnsi="宋体" w:eastAsia="黑体"/>
          <w:b/>
          <w:sz w:val="32"/>
          <w:szCs w:val="32"/>
        </w:rPr>
      </w:pPr>
      <w:r>
        <w:rPr>
          <w:rFonts w:hint="eastAsia" w:ascii="黑体" w:hAnsi="宋体" w:eastAsia="黑体"/>
          <w:b/>
          <w:sz w:val="32"/>
          <w:szCs w:val="32"/>
        </w:rPr>
        <w:t>第五章  引导基金退出</w:t>
      </w:r>
    </w:p>
    <w:p>
      <w:pPr>
        <w:keepNext w:val="0"/>
        <w:keepLines w:val="0"/>
        <w:pageBreakBefore w:val="0"/>
        <w:kinsoku/>
        <w:wordWrap/>
        <w:overflowPunct/>
        <w:autoSpaceDE/>
        <w:autoSpaceDN/>
        <w:bidi w:val="0"/>
        <w:adjustRightInd w:val="0"/>
        <w:snapToGrid w:val="0"/>
        <w:spacing w:line="540" w:lineRule="exact"/>
        <w:ind w:right="0" w:rightChars="0" w:firstLine="643" w:firstLineChars="200"/>
        <w:textAlignment w:val="auto"/>
        <w:rPr>
          <w:rFonts w:ascii="仿宋_GB2312" w:eastAsia="仿宋_GB2312"/>
          <w:sz w:val="32"/>
          <w:szCs w:val="32"/>
        </w:rPr>
      </w:pPr>
      <w:r>
        <w:rPr>
          <w:rFonts w:hint="eastAsia" w:ascii="仿宋_GB2312" w:eastAsia="仿宋_GB2312"/>
          <w:b/>
          <w:bCs/>
          <w:sz w:val="32"/>
          <w:szCs w:val="32"/>
        </w:rPr>
        <w:t>第二十一条</w:t>
      </w:r>
      <w:r>
        <w:rPr>
          <w:rFonts w:hint="eastAsia" w:ascii="仿宋_GB2312" w:eastAsia="仿宋_GB2312"/>
          <w:sz w:val="32"/>
          <w:szCs w:val="32"/>
        </w:rPr>
        <w:t xml:space="preserve">  合作子基金依据《合伙协议》或《企业章程》约定进行股权投资、管理和退出。有下述情况之一的，引导基金可无需其他投资人同意，选择提前退出：</w:t>
      </w:r>
    </w:p>
    <w:p>
      <w:pPr>
        <w:keepNext w:val="0"/>
        <w:keepLines w:val="0"/>
        <w:pageBreakBefore w:val="0"/>
        <w:kinsoku/>
        <w:wordWrap/>
        <w:overflowPunct/>
        <w:autoSpaceDE/>
        <w:autoSpaceDN/>
        <w:bidi w:val="0"/>
        <w:adjustRightInd w:val="0"/>
        <w:snapToGrid w:val="0"/>
        <w:spacing w:line="540" w:lineRule="exact"/>
        <w:ind w:right="0" w:rightChars="0" w:firstLine="640" w:firstLineChars="200"/>
        <w:textAlignment w:val="auto"/>
        <w:rPr>
          <w:rFonts w:ascii="仿宋_GB2312" w:eastAsia="仿宋_GB2312"/>
          <w:sz w:val="32"/>
          <w:szCs w:val="32"/>
        </w:rPr>
      </w:pPr>
      <w:r>
        <w:rPr>
          <w:rFonts w:hint="eastAsia" w:ascii="仿宋_GB2312" w:eastAsia="仿宋_GB2312"/>
          <w:sz w:val="32"/>
          <w:szCs w:val="32"/>
        </w:rPr>
        <w:t>（一）未按《合伙协议》或《企业章程》约定投资的；</w:t>
      </w:r>
    </w:p>
    <w:p>
      <w:pPr>
        <w:keepNext w:val="0"/>
        <w:keepLines w:val="0"/>
        <w:pageBreakBefore w:val="0"/>
        <w:kinsoku/>
        <w:wordWrap/>
        <w:overflowPunct/>
        <w:autoSpaceDE/>
        <w:autoSpaceDN/>
        <w:bidi w:val="0"/>
        <w:adjustRightInd w:val="0"/>
        <w:snapToGrid w:val="0"/>
        <w:spacing w:line="540" w:lineRule="exact"/>
        <w:ind w:right="0" w:rightChars="0" w:firstLine="640" w:firstLineChars="200"/>
        <w:textAlignment w:val="auto"/>
        <w:rPr>
          <w:rFonts w:ascii="仿宋_GB2312" w:eastAsia="仿宋_GB2312"/>
          <w:sz w:val="32"/>
          <w:szCs w:val="32"/>
        </w:rPr>
      </w:pPr>
      <w:r>
        <w:rPr>
          <w:rFonts w:hint="eastAsia" w:ascii="仿宋_GB2312" w:eastAsia="仿宋_GB2312"/>
          <w:sz w:val="32"/>
          <w:szCs w:val="32"/>
        </w:rPr>
        <w:t>（二）与子基金管理机构签订合作协议超过1年未按约定程序和时间要求完成设立手续的；</w:t>
      </w:r>
    </w:p>
    <w:p>
      <w:pPr>
        <w:keepNext w:val="0"/>
        <w:keepLines w:val="0"/>
        <w:pageBreakBefore w:val="0"/>
        <w:kinsoku/>
        <w:wordWrap/>
        <w:overflowPunct/>
        <w:autoSpaceDE/>
        <w:autoSpaceDN/>
        <w:bidi w:val="0"/>
        <w:adjustRightInd w:val="0"/>
        <w:snapToGrid w:val="0"/>
        <w:spacing w:line="540" w:lineRule="exact"/>
        <w:ind w:right="0" w:rightChars="0" w:firstLine="640" w:firstLineChars="200"/>
        <w:textAlignment w:val="auto"/>
        <w:rPr>
          <w:rFonts w:ascii="仿宋_GB2312" w:eastAsia="仿宋_GB2312"/>
          <w:sz w:val="32"/>
          <w:szCs w:val="32"/>
        </w:rPr>
      </w:pPr>
      <w:r>
        <w:rPr>
          <w:rFonts w:hint="eastAsia" w:ascii="仿宋_GB2312" w:eastAsia="仿宋_GB2312"/>
          <w:sz w:val="32"/>
          <w:szCs w:val="32"/>
        </w:rPr>
        <w:t>（三）子基金设立1年以上，未开展投资业务的；</w:t>
      </w:r>
    </w:p>
    <w:p>
      <w:pPr>
        <w:keepNext w:val="0"/>
        <w:keepLines w:val="0"/>
        <w:pageBreakBefore w:val="0"/>
        <w:kinsoku/>
        <w:wordWrap/>
        <w:overflowPunct/>
        <w:autoSpaceDE/>
        <w:autoSpaceDN/>
        <w:bidi w:val="0"/>
        <w:adjustRightInd w:val="0"/>
        <w:snapToGrid w:val="0"/>
        <w:spacing w:line="540" w:lineRule="exact"/>
        <w:ind w:right="0" w:rightChars="0" w:firstLine="640" w:firstLineChars="200"/>
        <w:textAlignment w:val="auto"/>
        <w:rPr>
          <w:rFonts w:ascii="仿宋_GB2312" w:eastAsia="仿宋_GB2312"/>
          <w:sz w:val="32"/>
          <w:szCs w:val="32"/>
        </w:rPr>
      </w:pPr>
      <w:r>
        <w:rPr>
          <w:rFonts w:hint="eastAsia" w:ascii="仿宋_GB2312" w:eastAsia="仿宋_GB2312"/>
          <w:sz w:val="32"/>
          <w:szCs w:val="32"/>
        </w:rPr>
        <w:t>（四）投资领域和方向不符合规定和政策目标的；</w:t>
      </w:r>
    </w:p>
    <w:p>
      <w:pPr>
        <w:keepNext w:val="0"/>
        <w:keepLines w:val="0"/>
        <w:pageBreakBefore w:val="0"/>
        <w:kinsoku/>
        <w:wordWrap/>
        <w:overflowPunct/>
        <w:autoSpaceDE/>
        <w:autoSpaceDN/>
        <w:bidi w:val="0"/>
        <w:adjustRightInd w:val="0"/>
        <w:snapToGrid w:val="0"/>
        <w:spacing w:line="540" w:lineRule="exact"/>
        <w:ind w:right="0" w:rightChars="0" w:firstLine="640" w:firstLineChars="200"/>
        <w:textAlignment w:val="auto"/>
        <w:rPr>
          <w:rFonts w:ascii="仿宋_GB2312" w:eastAsia="仿宋_GB2312"/>
          <w:sz w:val="32"/>
          <w:szCs w:val="32"/>
        </w:rPr>
      </w:pPr>
      <w:r>
        <w:rPr>
          <w:rFonts w:hint="eastAsia" w:ascii="仿宋_GB2312" w:eastAsia="仿宋_GB2312"/>
          <w:sz w:val="32"/>
          <w:szCs w:val="32"/>
        </w:rPr>
        <w:t>（五）子基金管理机构发生实质性变化的；</w:t>
      </w:r>
    </w:p>
    <w:p>
      <w:pPr>
        <w:keepNext w:val="0"/>
        <w:keepLines w:val="0"/>
        <w:pageBreakBefore w:val="0"/>
        <w:kinsoku/>
        <w:wordWrap/>
        <w:overflowPunct/>
        <w:autoSpaceDE/>
        <w:autoSpaceDN/>
        <w:bidi w:val="0"/>
        <w:adjustRightInd w:val="0"/>
        <w:snapToGrid w:val="0"/>
        <w:spacing w:line="540" w:lineRule="exact"/>
        <w:ind w:right="0" w:rightChars="0" w:firstLine="640" w:firstLineChars="200"/>
        <w:textAlignment w:val="auto"/>
        <w:rPr>
          <w:rFonts w:ascii="仿宋_GB2312" w:eastAsia="仿宋_GB2312"/>
          <w:sz w:val="32"/>
          <w:szCs w:val="32"/>
        </w:rPr>
      </w:pPr>
      <w:r>
        <w:rPr>
          <w:rFonts w:hint="eastAsia" w:ascii="仿宋_GB2312" w:eastAsia="仿宋_GB2312"/>
          <w:sz w:val="32"/>
          <w:szCs w:val="32"/>
        </w:rPr>
        <w:t>（六）其他不符合合伙协议或章程约定情形的。</w:t>
      </w:r>
    </w:p>
    <w:p>
      <w:pPr>
        <w:keepNext w:val="0"/>
        <w:keepLines w:val="0"/>
        <w:pageBreakBefore w:val="0"/>
        <w:kinsoku/>
        <w:wordWrap/>
        <w:overflowPunct/>
        <w:autoSpaceDE/>
        <w:autoSpaceDN/>
        <w:bidi w:val="0"/>
        <w:adjustRightInd w:val="0"/>
        <w:snapToGrid w:val="0"/>
        <w:spacing w:line="540" w:lineRule="exact"/>
        <w:ind w:right="0" w:rightChars="0" w:firstLine="560" w:firstLineChars="200"/>
        <w:textAlignment w:val="auto"/>
        <w:rPr>
          <w:rFonts w:ascii="仿宋_GB2312" w:eastAsia="仿宋_GB2312"/>
          <w:sz w:val="32"/>
          <w:szCs w:val="32"/>
        </w:rPr>
      </w:pPr>
      <w:r>
        <w:rPr>
          <w:rFonts w:hint="eastAsia" w:ascii="楷体" w:hAnsi="楷体" w:eastAsia="楷体" w:cs="楷体"/>
          <w:sz w:val="28"/>
          <w:szCs w:val="28"/>
        </w:rPr>
        <w:t>【编制说明】对政府投资基金子基金约束，参考《佛山市人民政府办公室关于印发佛山市本级政府投资基金管理实施办法的通知》（佛府办函〔2018〕996号）。</w:t>
      </w:r>
    </w:p>
    <w:p>
      <w:pPr>
        <w:keepNext w:val="0"/>
        <w:keepLines w:val="0"/>
        <w:pageBreakBefore w:val="0"/>
        <w:kinsoku/>
        <w:wordWrap/>
        <w:overflowPunct/>
        <w:autoSpaceDE/>
        <w:autoSpaceDN/>
        <w:bidi w:val="0"/>
        <w:adjustRightInd w:val="0"/>
        <w:snapToGrid w:val="0"/>
        <w:spacing w:line="540" w:lineRule="exact"/>
        <w:ind w:right="0" w:rightChars="0" w:firstLine="630" w:firstLineChars="196"/>
        <w:textAlignment w:val="auto"/>
        <w:rPr>
          <w:rFonts w:ascii="仿宋_GB2312" w:eastAsia="仿宋_GB2312"/>
          <w:sz w:val="32"/>
          <w:szCs w:val="32"/>
        </w:rPr>
      </w:pPr>
      <w:r>
        <w:rPr>
          <w:rFonts w:hint="eastAsia" w:ascii="宋体" w:hAnsi="宋体"/>
          <w:b/>
          <w:sz w:val="32"/>
          <w:szCs w:val="32"/>
        </w:rPr>
        <w:t xml:space="preserve">第二十二条 </w:t>
      </w:r>
      <w:r>
        <w:rPr>
          <w:rFonts w:hint="eastAsia"/>
        </w:rPr>
        <w:t xml:space="preserve"> </w:t>
      </w:r>
      <w:r>
        <w:rPr>
          <w:rFonts w:hint="eastAsia" w:ascii="仿宋_GB2312" w:eastAsia="仿宋_GB2312"/>
          <w:sz w:val="32"/>
          <w:szCs w:val="32"/>
        </w:rPr>
        <w:t>合作子基金应当在《合伙协议》或《企业章程》等法律文件中明确下列事项：</w:t>
      </w:r>
    </w:p>
    <w:p>
      <w:pPr>
        <w:keepNext w:val="0"/>
        <w:keepLines w:val="0"/>
        <w:pageBreakBefore w:val="0"/>
        <w:kinsoku/>
        <w:wordWrap/>
        <w:overflowPunct/>
        <w:autoSpaceDE/>
        <w:autoSpaceDN/>
        <w:bidi w:val="0"/>
        <w:adjustRightInd w:val="0"/>
        <w:snapToGrid w:val="0"/>
        <w:spacing w:line="540" w:lineRule="exact"/>
        <w:ind w:right="0" w:rightChars="0" w:firstLine="640" w:firstLineChars="200"/>
        <w:textAlignment w:val="auto"/>
        <w:rPr>
          <w:rFonts w:ascii="仿宋_GB2312" w:eastAsia="仿宋_GB2312"/>
          <w:sz w:val="32"/>
          <w:szCs w:val="32"/>
        </w:rPr>
      </w:pPr>
      <w:r>
        <w:rPr>
          <w:rFonts w:hint="eastAsia" w:ascii="仿宋_GB2312" w:eastAsia="仿宋_GB2312"/>
          <w:sz w:val="32"/>
          <w:szCs w:val="32"/>
        </w:rPr>
        <w:t>（一）在有受让方的情况下，引导基金可以退出合作子基金；</w:t>
      </w:r>
    </w:p>
    <w:p>
      <w:pPr>
        <w:keepNext w:val="0"/>
        <w:keepLines w:val="0"/>
        <w:pageBreakBefore w:val="0"/>
        <w:kinsoku/>
        <w:wordWrap/>
        <w:overflowPunct/>
        <w:autoSpaceDE/>
        <w:autoSpaceDN/>
        <w:bidi w:val="0"/>
        <w:adjustRightInd w:val="0"/>
        <w:snapToGrid w:val="0"/>
        <w:spacing w:line="540" w:lineRule="exact"/>
        <w:ind w:right="0" w:rightChars="0" w:firstLine="640" w:firstLineChars="200"/>
        <w:textAlignment w:val="auto"/>
        <w:rPr>
          <w:rFonts w:ascii="仿宋_GB2312" w:eastAsia="仿宋_GB2312"/>
          <w:sz w:val="32"/>
          <w:szCs w:val="32"/>
        </w:rPr>
      </w:pPr>
      <w:r>
        <w:rPr>
          <w:rFonts w:hint="eastAsia" w:ascii="仿宋_GB2312" w:eastAsia="仿宋_GB2312"/>
          <w:sz w:val="32"/>
          <w:szCs w:val="32"/>
        </w:rPr>
        <w:t>（二）接受引导基金管理公司向合作子基金委派董事、监事、投资决策委员会委员或观察员等人员。相关人员有权就合作子基金投资运作事宜进行监督；</w:t>
      </w:r>
    </w:p>
    <w:p>
      <w:pPr>
        <w:keepNext w:val="0"/>
        <w:keepLines w:val="0"/>
        <w:pageBreakBefore w:val="0"/>
        <w:kinsoku/>
        <w:wordWrap/>
        <w:overflowPunct/>
        <w:autoSpaceDE/>
        <w:autoSpaceDN/>
        <w:bidi w:val="0"/>
        <w:adjustRightInd w:val="0"/>
        <w:snapToGrid w:val="0"/>
        <w:spacing w:line="540" w:lineRule="exact"/>
        <w:ind w:right="0" w:rightChars="0" w:firstLine="640" w:firstLineChars="200"/>
        <w:textAlignment w:val="auto"/>
        <w:rPr>
          <w:rFonts w:ascii="仿宋_GB2312" w:eastAsia="仿宋_GB2312"/>
          <w:sz w:val="32"/>
          <w:szCs w:val="32"/>
        </w:rPr>
      </w:pPr>
      <w:r>
        <w:rPr>
          <w:rFonts w:hint="eastAsia" w:ascii="仿宋_GB2312" w:eastAsia="仿宋_GB2312"/>
          <w:sz w:val="32"/>
          <w:szCs w:val="32"/>
        </w:rPr>
        <w:t>（三）合作子基金未按规定开展投资业务的，且协调无效的，引导基金有权退出。</w:t>
      </w:r>
    </w:p>
    <w:p>
      <w:pPr>
        <w:keepNext w:val="0"/>
        <w:keepLines w:val="0"/>
        <w:pageBreakBefore w:val="0"/>
        <w:kinsoku/>
        <w:wordWrap/>
        <w:overflowPunct/>
        <w:autoSpaceDE/>
        <w:autoSpaceDN/>
        <w:bidi w:val="0"/>
        <w:adjustRightInd w:val="0"/>
        <w:snapToGrid w:val="0"/>
        <w:spacing w:line="540" w:lineRule="exact"/>
        <w:ind w:right="0" w:rightChars="0" w:firstLine="560" w:firstLineChars="200"/>
        <w:textAlignment w:val="auto"/>
        <w:rPr>
          <w:rFonts w:ascii="仿宋_GB2312" w:eastAsia="仿宋_GB2312"/>
          <w:sz w:val="32"/>
          <w:szCs w:val="32"/>
        </w:rPr>
      </w:pPr>
      <w:r>
        <w:rPr>
          <w:rFonts w:hint="eastAsia" w:ascii="楷体" w:hAnsi="楷体" w:eastAsia="楷体" w:cs="楷体"/>
          <w:sz w:val="28"/>
          <w:szCs w:val="28"/>
        </w:rPr>
        <w:t>【编制说明】明确政府投资基金在子基金中的权利，参考《佛山市人民政府办公室关于印发佛山市本级政府投资基金管理实施办法的通知》（佛府办函〔2018〕996号）。</w:t>
      </w:r>
    </w:p>
    <w:p>
      <w:pPr>
        <w:keepNext w:val="0"/>
        <w:keepLines w:val="0"/>
        <w:pageBreakBefore w:val="0"/>
        <w:kinsoku/>
        <w:wordWrap/>
        <w:overflowPunct/>
        <w:autoSpaceDE/>
        <w:autoSpaceDN/>
        <w:bidi w:val="0"/>
        <w:adjustRightInd w:val="0"/>
        <w:snapToGrid w:val="0"/>
        <w:spacing w:line="540" w:lineRule="exact"/>
        <w:ind w:right="0" w:rightChars="0" w:firstLine="630" w:firstLineChars="196"/>
        <w:textAlignment w:val="auto"/>
        <w:rPr>
          <w:rFonts w:hint="eastAsia"/>
        </w:rPr>
      </w:pPr>
      <w:r>
        <w:rPr>
          <w:rFonts w:hint="eastAsia" w:ascii="宋体" w:hAnsi="宋体"/>
          <w:b/>
          <w:sz w:val="32"/>
          <w:szCs w:val="32"/>
        </w:rPr>
        <w:t>第二十三条</w:t>
      </w:r>
      <w:r>
        <w:rPr>
          <w:rFonts w:hint="eastAsia"/>
        </w:rPr>
        <w:t xml:space="preserve"> </w:t>
      </w:r>
      <w:r>
        <w:rPr>
          <w:rFonts w:hint="eastAsia" w:ascii="仿宋_GB2312" w:eastAsia="仿宋_GB2312"/>
          <w:sz w:val="32"/>
          <w:szCs w:val="32"/>
          <w:lang w:eastAsia="zh-CN" w:bidi="ar"/>
        </w:rPr>
        <w:t>直投子基金退出</w:t>
      </w:r>
      <w:r>
        <w:rPr>
          <w:rFonts w:hint="eastAsia" w:ascii="仿宋_GB2312" w:eastAsia="仿宋_GB2312"/>
          <w:sz w:val="32"/>
          <w:szCs w:val="32"/>
          <w:lang w:bidi="ar"/>
        </w:rPr>
        <w:t>方式：通过企业上市、股权转让、企业回购、并购或破产清算等方式退出。其中通过回购、转让退出的，具备条件的可参照以下方式确定转让价格：2年内（含2年）退出的，转让价格为直接股权投资资金原始投资额；2-3年（含3年）退出的，转让价格为直接股权投资资金原始投资额与转让时中国人民银行公布的同期贷款基准利率计算的收益之和；超过3年退出的，通过市场化方式退出。</w:t>
      </w:r>
      <w:r>
        <w:rPr>
          <w:rFonts w:ascii="FangSong_GB2312" w:hAnsi="FangSong_GB2312" w:eastAsia="FangSong_GB2312" w:cs="FangSong_GB2312"/>
          <w:sz w:val="32"/>
          <w:szCs w:val="32"/>
          <w:lang w:val="zh-TW" w:eastAsia="zh-TW"/>
        </w:rPr>
        <w:t>特定对象回购，由直投子基金管理机构在签订投资协议时确定，</w:t>
      </w:r>
      <w:r>
        <w:rPr>
          <w:rFonts w:hint="eastAsia" w:ascii="FangSong_GB2312" w:hAnsi="FangSong_GB2312" w:eastAsia="FangSong_GB2312" w:cs="FangSong_GB2312"/>
          <w:sz w:val="32"/>
          <w:szCs w:val="32"/>
          <w:lang w:val="en-US" w:eastAsia="zh-CN"/>
        </w:rPr>
        <w:t>3</w:t>
      </w:r>
      <w:r>
        <w:rPr>
          <w:rFonts w:ascii="FangSong_GB2312" w:hAnsi="FangSong_GB2312" w:eastAsia="FangSong_GB2312" w:cs="FangSong_GB2312"/>
          <w:sz w:val="32"/>
          <w:szCs w:val="32"/>
          <w:lang w:val="zh-TW" w:eastAsia="zh-TW"/>
        </w:rPr>
        <w:t>年内按约定价格转让退出，由直投</w:t>
      </w:r>
      <w:bookmarkStart w:id="4" w:name="_GoBack"/>
      <w:bookmarkEnd w:id="4"/>
      <w:r>
        <w:rPr>
          <w:rFonts w:ascii="FangSong_GB2312" w:hAnsi="FangSong_GB2312" w:eastAsia="FangSong_GB2312" w:cs="FangSong_GB2312"/>
          <w:sz w:val="32"/>
          <w:szCs w:val="32"/>
          <w:lang w:val="zh-TW" w:eastAsia="zh-TW"/>
        </w:rPr>
        <w:t>子基金管理机构到时指定受让方。</w:t>
      </w:r>
    </w:p>
    <w:p>
      <w:pPr>
        <w:keepNext w:val="0"/>
        <w:keepLines w:val="0"/>
        <w:pageBreakBefore w:val="0"/>
        <w:kinsoku/>
        <w:wordWrap/>
        <w:overflowPunct/>
        <w:autoSpaceDE/>
        <w:autoSpaceDN/>
        <w:bidi w:val="0"/>
        <w:adjustRightInd w:val="0"/>
        <w:snapToGrid w:val="0"/>
        <w:spacing w:line="540" w:lineRule="exact"/>
        <w:ind w:right="0" w:rightChars="0" w:firstLine="630" w:firstLineChars="196"/>
        <w:textAlignment w:val="auto"/>
        <w:rPr>
          <w:rFonts w:ascii="仿宋_GB2312" w:eastAsia="仿宋_GB2312"/>
          <w:sz w:val="32"/>
          <w:szCs w:val="32"/>
        </w:rPr>
      </w:pPr>
      <w:r>
        <w:rPr>
          <w:rFonts w:hint="eastAsia" w:ascii="宋体" w:hAnsi="宋体"/>
          <w:b/>
          <w:sz w:val="32"/>
          <w:szCs w:val="32"/>
        </w:rPr>
        <w:t>第二十四条</w:t>
      </w:r>
      <w:r>
        <w:rPr>
          <w:rFonts w:hint="eastAsia"/>
        </w:rPr>
        <w:t xml:space="preserve">  </w:t>
      </w:r>
      <w:r>
        <w:rPr>
          <w:rFonts w:hint="eastAsia" w:ascii="仿宋_GB2312" w:eastAsia="仿宋_GB2312"/>
          <w:sz w:val="32"/>
          <w:szCs w:val="32"/>
        </w:rPr>
        <w:t>跟进投资，是指对母基金管理机构或子基金管理机构选定投资的企业，引导基金可参与同步共同投资。</w:t>
      </w:r>
    </w:p>
    <w:p>
      <w:pPr>
        <w:keepNext w:val="0"/>
        <w:keepLines w:val="0"/>
        <w:pageBreakBefore w:val="0"/>
        <w:kinsoku/>
        <w:wordWrap/>
        <w:overflowPunct/>
        <w:autoSpaceDE/>
        <w:autoSpaceDN/>
        <w:bidi w:val="0"/>
        <w:adjustRightInd w:val="0"/>
        <w:snapToGrid w:val="0"/>
        <w:spacing w:line="540" w:lineRule="exact"/>
        <w:ind w:right="0" w:rightChars="0" w:firstLine="640" w:firstLineChars="200"/>
        <w:textAlignment w:val="auto"/>
        <w:rPr>
          <w:rFonts w:ascii="仿宋_GB2312" w:eastAsia="仿宋_GB2312"/>
          <w:sz w:val="32"/>
          <w:szCs w:val="32"/>
        </w:rPr>
      </w:pPr>
      <w:r>
        <w:rPr>
          <w:rFonts w:hint="eastAsia" w:ascii="仿宋_GB2312" w:eastAsia="仿宋_GB2312"/>
          <w:sz w:val="32"/>
          <w:szCs w:val="32"/>
        </w:rPr>
        <w:t>（一）子基金管理机构在选定投资项目后或实际投资时，母基金可选择与子基金按照同步同价跟进投资；如果引导基金决定跟投子基金所投资的项目，子基金管理机构必须同意引导基金跟投，并协助办理跟投相关手续。原则上引导基金对每个项目的跟投金额不超过子基金在该项目投资金额的30%。</w:t>
      </w:r>
    </w:p>
    <w:p>
      <w:pPr>
        <w:keepNext w:val="0"/>
        <w:keepLines w:val="0"/>
        <w:pageBreakBefore w:val="0"/>
        <w:kinsoku/>
        <w:wordWrap/>
        <w:overflowPunct/>
        <w:autoSpaceDE/>
        <w:autoSpaceDN/>
        <w:bidi w:val="0"/>
        <w:adjustRightInd w:val="0"/>
        <w:snapToGrid w:val="0"/>
        <w:spacing w:line="540" w:lineRule="exact"/>
        <w:ind w:right="0" w:rightChars="0" w:firstLine="640" w:firstLineChars="200"/>
        <w:textAlignment w:val="auto"/>
        <w:rPr>
          <w:rFonts w:ascii="仿宋_GB2312" w:eastAsia="仿宋_GB2312"/>
          <w:sz w:val="32"/>
          <w:szCs w:val="32"/>
        </w:rPr>
      </w:pPr>
      <w:r>
        <w:rPr>
          <w:rFonts w:hint="eastAsia" w:ascii="仿宋_GB2312" w:eastAsia="仿宋_GB2312"/>
          <w:sz w:val="32"/>
          <w:szCs w:val="32"/>
        </w:rPr>
        <w:t>（二）引导基金实施跟进投资的投资价格按与子基金投资价格相同。引导基金跟进投资形成的股权，享有股东权利和承担股东义务；</w:t>
      </w:r>
    </w:p>
    <w:p>
      <w:pPr>
        <w:keepNext w:val="0"/>
        <w:keepLines w:val="0"/>
        <w:pageBreakBefore w:val="0"/>
        <w:kinsoku/>
        <w:wordWrap/>
        <w:overflowPunct/>
        <w:autoSpaceDE/>
        <w:autoSpaceDN/>
        <w:bidi w:val="0"/>
        <w:adjustRightInd w:val="0"/>
        <w:snapToGrid w:val="0"/>
        <w:spacing w:line="540" w:lineRule="exact"/>
        <w:ind w:right="0" w:rightChars="0" w:firstLine="640" w:firstLineChars="200"/>
        <w:textAlignment w:val="auto"/>
        <w:rPr>
          <w:rFonts w:ascii="仿宋_GB2312" w:eastAsia="仿宋_GB2312"/>
          <w:sz w:val="32"/>
          <w:szCs w:val="32"/>
        </w:rPr>
      </w:pPr>
      <w:r>
        <w:rPr>
          <w:rFonts w:hint="eastAsia" w:ascii="仿宋_GB2312" w:eastAsia="仿宋_GB2312"/>
          <w:sz w:val="32"/>
          <w:szCs w:val="32"/>
        </w:rPr>
        <w:t>（三）共同投资的子基金不得先于引导基金退出其在被投资企业的股权；</w:t>
      </w:r>
    </w:p>
    <w:p>
      <w:pPr>
        <w:keepNext w:val="0"/>
        <w:keepLines w:val="0"/>
        <w:pageBreakBefore w:val="0"/>
        <w:kinsoku/>
        <w:wordWrap/>
        <w:overflowPunct/>
        <w:autoSpaceDE/>
        <w:autoSpaceDN/>
        <w:bidi w:val="0"/>
        <w:adjustRightInd w:val="0"/>
        <w:snapToGrid w:val="0"/>
        <w:spacing w:line="540" w:lineRule="exact"/>
        <w:ind w:right="0" w:rightChars="0" w:firstLine="640" w:firstLineChars="200"/>
        <w:textAlignment w:val="auto"/>
        <w:rPr>
          <w:rFonts w:ascii="仿宋_GB2312" w:eastAsia="仿宋_GB2312"/>
          <w:sz w:val="32"/>
          <w:szCs w:val="32"/>
        </w:rPr>
      </w:pPr>
      <w:r>
        <w:rPr>
          <w:rFonts w:hint="eastAsia" w:ascii="仿宋_GB2312" w:eastAsia="仿宋_GB2312"/>
          <w:sz w:val="32"/>
          <w:szCs w:val="32"/>
        </w:rPr>
        <w:t>（四）引导基金投资形成的股权可以通过上市、股权转让、企业回购及破产清算等方式退出。</w:t>
      </w:r>
    </w:p>
    <w:p>
      <w:pPr>
        <w:keepNext w:val="0"/>
        <w:keepLines w:val="0"/>
        <w:pageBreakBefore w:val="0"/>
        <w:kinsoku/>
        <w:wordWrap/>
        <w:overflowPunct/>
        <w:autoSpaceDE/>
        <w:autoSpaceDN/>
        <w:bidi w:val="0"/>
        <w:adjustRightInd w:val="0"/>
        <w:snapToGrid w:val="0"/>
        <w:spacing w:line="540" w:lineRule="exact"/>
        <w:ind w:right="0" w:rightChars="0" w:firstLine="560" w:firstLineChars="200"/>
        <w:textAlignment w:val="auto"/>
        <w:rPr>
          <w:rFonts w:ascii="仿宋_GB2312" w:eastAsia="仿宋_GB2312"/>
          <w:sz w:val="32"/>
          <w:szCs w:val="32"/>
        </w:rPr>
      </w:pPr>
      <w:r>
        <w:rPr>
          <w:rFonts w:hint="eastAsia" w:ascii="楷体" w:hAnsi="楷体" w:eastAsia="楷体" w:cs="楷体"/>
          <w:sz w:val="28"/>
          <w:szCs w:val="28"/>
        </w:rPr>
        <w:t>【编制说明】政府投资基金对跟进子基金投资的要求。</w:t>
      </w:r>
    </w:p>
    <w:p>
      <w:pPr>
        <w:keepNext w:val="0"/>
        <w:keepLines w:val="0"/>
        <w:pageBreakBefore w:val="0"/>
        <w:kinsoku/>
        <w:wordWrap/>
        <w:overflowPunct/>
        <w:autoSpaceDE/>
        <w:autoSpaceDN/>
        <w:bidi w:val="0"/>
        <w:adjustRightInd w:val="0"/>
        <w:snapToGrid w:val="0"/>
        <w:spacing w:line="540" w:lineRule="exact"/>
        <w:ind w:right="0" w:rightChars="0" w:firstLine="630" w:firstLineChars="196"/>
        <w:textAlignment w:val="auto"/>
        <w:rPr>
          <w:rFonts w:ascii="仿宋_GB2312" w:eastAsia="仿宋_GB2312"/>
          <w:sz w:val="32"/>
          <w:szCs w:val="32"/>
        </w:rPr>
      </w:pPr>
      <w:r>
        <w:rPr>
          <w:rFonts w:hint="eastAsia" w:ascii="宋体" w:hAnsi="宋体"/>
          <w:b/>
          <w:sz w:val="32"/>
          <w:szCs w:val="32"/>
        </w:rPr>
        <w:t>第二十</w:t>
      </w:r>
      <w:r>
        <w:rPr>
          <w:rFonts w:hint="eastAsia" w:ascii="宋体" w:hAnsi="宋体"/>
          <w:b/>
          <w:sz w:val="32"/>
          <w:szCs w:val="32"/>
          <w:lang w:eastAsia="zh-CN"/>
        </w:rPr>
        <w:t>五</w:t>
      </w:r>
      <w:r>
        <w:rPr>
          <w:rFonts w:hint="eastAsia" w:ascii="宋体" w:hAnsi="宋体"/>
          <w:b/>
          <w:sz w:val="32"/>
          <w:szCs w:val="32"/>
        </w:rPr>
        <w:t>条</w:t>
      </w:r>
      <w:r>
        <w:rPr>
          <w:rFonts w:hint="eastAsia"/>
        </w:rPr>
        <w:t xml:space="preserve">  </w:t>
      </w:r>
      <w:r>
        <w:rPr>
          <w:rFonts w:hint="eastAsia" w:ascii="仿宋_GB2312" w:eastAsia="仿宋_GB2312"/>
          <w:sz w:val="32"/>
          <w:szCs w:val="32"/>
        </w:rPr>
        <w:t>引导基金一般通过到期清算从子基金中实现退出，也可通过社会股东回购、股权转让、二级市场交易等方式退出。引导基金以所持比例获取本金和收益，在符合相关法律法规规定的前提下，可事先通过《合伙协议》或《企业章程》约定引导基金的分配权和清偿权。</w:t>
      </w:r>
    </w:p>
    <w:p>
      <w:pPr>
        <w:keepNext w:val="0"/>
        <w:keepLines w:val="0"/>
        <w:pageBreakBefore w:val="0"/>
        <w:kinsoku/>
        <w:wordWrap/>
        <w:overflowPunct/>
        <w:autoSpaceDE/>
        <w:autoSpaceDN/>
        <w:bidi w:val="0"/>
        <w:adjustRightInd w:val="0"/>
        <w:snapToGrid w:val="0"/>
        <w:spacing w:line="540" w:lineRule="exact"/>
        <w:ind w:right="0" w:rightChars="0" w:firstLine="548" w:firstLineChars="196"/>
        <w:textAlignment w:val="auto"/>
        <w:rPr>
          <w:rFonts w:ascii="仿宋_GB2312" w:eastAsia="仿宋_GB2312"/>
          <w:sz w:val="32"/>
          <w:szCs w:val="32"/>
        </w:rPr>
      </w:pPr>
      <w:r>
        <w:rPr>
          <w:rFonts w:hint="eastAsia" w:ascii="楷体" w:hAnsi="楷体" w:eastAsia="楷体" w:cs="楷体"/>
          <w:sz w:val="28"/>
          <w:szCs w:val="28"/>
        </w:rPr>
        <w:t>【编制说明】政府投资基金在子基金中的一般退出方式。</w:t>
      </w:r>
    </w:p>
    <w:p>
      <w:pPr>
        <w:keepNext w:val="0"/>
        <w:keepLines w:val="0"/>
        <w:pageBreakBefore w:val="0"/>
        <w:kinsoku/>
        <w:wordWrap/>
        <w:overflowPunct/>
        <w:autoSpaceDE/>
        <w:autoSpaceDN/>
        <w:bidi w:val="0"/>
        <w:adjustRightInd w:val="0"/>
        <w:snapToGrid w:val="0"/>
        <w:spacing w:line="540" w:lineRule="exact"/>
        <w:ind w:right="0" w:rightChars="0" w:firstLine="643" w:firstLineChars="200"/>
        <w:textAlignment w:val="auto"/>
        <w:rPr>
          <w:rFonts w:ascii="仿宋_GB2312" w:eastAsia="仿宋_GB2312"/>
          <w:sz w:val="32"/>
          <w:szCs w:val="32"/>
        </w:rPr>
      </w:pPr>
      <w:r>
        <w:rPr>
          <w:rFonts w:hint="eastAsia" w:ascii="宋体" w:hAnsi="宋体"/>
          <w:b/>
          <w:bCs/>
          <w:sz w:val="32"/>
          <w:szCs w:val="32"/>
        </w:rPr>
        <w:t>第二十</w:t>
      </w:r>
      <w:r>
        <w:rPr>
          <w:rFonts w:hint="eastAsia" w:ascii="宋体" w:hAnsi="宋体"/>
          <w:b/>
          <w:bCs/>
          <w:sz w:val="32"/>
          <w:szCs w:val="32"/>
          <w:lang w:eastAsia="zh-CN"/>
        </w:rPr>
        <w:t>六</w:t>
      </w:r>
      <w:r>
        <w:rPr>
          <w:rFonts w:hint="eastAsia" w:ascii="宋体" w:hAnsi="宋体"/>
          <w:b/>
          <w:bCs/>
          <w:sz w:val="32"/>
          <w:szCs w:val="32"/>
        </w:rPr>
        <w:t>条</w:t>
      </w:r>
      <w:r>
        <w:rPr>
          <w:rFonts w:hint="eastAsia" w:ascii="仿宋_GB2312" w:eastAsia="仿宋_GB2312"/>
          <w:sz w:val="32"/>
          <w:szCs w:val="32"/>
        </w:rPr>
        <w:t xml:space="preserve">  原则上子基金每年在投资项目退出后实现的总收益按照出资比例返还给合伙企业的合伙人或各方股东，不用于项目再投资，以保证财政性资金回收后再循环使用。</w:t>
      </w:r>
    </w:p>
    <w:p>
      <w:pPr>
        <w:keepNext w:val="0"/>
        <w:keepLines w:val="0"/>
        <w:pageBreakBefore w:val="0"/>
        <w:kinsoku/>
        <w:wordWrap/>
        <w:overflowPunct/>
        <w:autoSpaceDE/>
        <w:autoSpaceDN/>
        <w:bidi w:val="0"/>
        <w:adjustRightInd w:val="0"/>
        <w:snapToGrid w:val="0"/>
        <w:spacing w:line="540" w:lineRule="exact"/>
        <w:ind w:right="0" w:rightChars="0" w:firstLine="560" w:firstLineChars="200"/>
        <w:textAlignment w:val="auto"/>
        <w:rPr>
          <w:rFonts w:ascii="黑体" w:hAnsi="宋体" w:eastAsia="黑体"/>
          <w:bCs/>
          <w:sz w:val="32"/>
          <w:szCs w:val="32"/>
        </w:rPr>
      </w:pPr>
      <w:r>
        <w:rPr>
          <w:rFonts w:hint="eastAsia" w:ascii="楷体" w:hAnsi="楷体" w:eastAsia="楷体" w:cs="楷体"/>
          <w:sz w:val="28"/>
          <w:szCs w:val="28"/>
        </w:rPr>
        <w:t>【编制说明】政府投资基金对子基金的资金使用要求。</w:t>
      </w:r>
    </w:p>
    <w:p>
      <w:pPr>
        <w:keepNext w:val="0"/>
        <w:keepLines w:val="0"/>
        <w:pageBreakBefore w:val="0"/>
        <w:kinsoku/>
        <w:wordWrap/>
        <w:overflowPunct/>
        <w:autoSpaceDE/>
        <w:autoSpaceDN/>
        <w:bidi w:val="0"/>
        <w:adjustRightInd w:val="0"/>
        <w:snapToGrid w:val="0"/>
        <w:spacing w:line="540" w:lineRule="exact"/>
        <w:ind w:right="0" w:rightChars="0"/>
        <w:jc w:val="center"/>
        <w:textAlignment w:val="auto"/>
        <w:outlineLvl w:val="0"/>
        <w:rPr>
          <w:rFonts w:ascii="黑体" w:hAnsi="宋体" w:eastAsia="黑体"/>
          <w:b/>
          <w:sz w:val="32"/>
          <w:szCs w:val="32"/>
        </w:rPr>
      </w:pPr>
      <w:r>
        <w:rPr>
          <w:rFonts w:hint="eastAsia" w:ascii="黑体" w:hAnsi="宋体" w:eastAsia="黑体"/>
          <w:b/>
          <w:sz w:val="32"/>
          <w:szCs w:val="32"/>
        </w:rPr>
        <w:t>第六章  风险控制</w:t>
      </w:r>
    </w:p>
    <w:p>
      <w:pPr>
        <w:keepNext w:val="0"/>
        <w:keepLines w:val="0"/>
        <w:pageBreakBefore w:val="0"/>
        <w:kinsoku/>
        <w:wordWrap/>
        <w:overflowPunct/>
        <w:autoSpaceDE/>
        <w:autoSpaceDN/>
        <w:bidi w:val="0"/>
        <w:adjustRightInd w:val="0"/>
        <w:snapToGrid w:val="0"/>
        <w:spacing w:line="540" w:lineRule="exact"/>
        <w:ind w:right="0" w:rightChars="0" w:firstLine="630" w:firstLineChars="196"/>
        <w:textAlignment w:val="auto"/>
        <w:rPr>
          <w:rFonts w:ascii="仿宋_GB2312" w:eastAsia="仿宋_GB2312"/>
          <w:sz w:val="32"/>
          <w:szCs w:val="32"/>
        </w:rPr>
      </w:pPr>
      <w:r>
        <w:rPr>
          <w:rFonts w:hint="eastAsia" w:ascii="宋体" w:hAnsi="宋体"/>
          <w:b/>
          <w:bCs/>
          <w:sz w:val="32"/>
          <w:szCs w:val="32"/>
        </w:rPr>
        <w:t>第二十</w:t>
      </w:r>
      <w:r>
        <w:rPr>
          <w:rFonts w:hint="eastAsia" w:ascii="宋体" w:hAnsi="宋体"/>
          <w:b/>
          <w:bCs/>
          <w:sz w:val="32"/>
          <w:szCs w:val="32"/>
          <w:lang w:eastAsia="zh-CN"/>
        </w:rPr>
        <w:t>七</w:t>
      </w:r>
      <w:r>
        <w:rPr>
          <w:rFonts w:hint="eastAsia" w:ascii="宋体" w:hAnsi="宋体"/>
          <w:b/>
          <w:bCs/>
          <w:sz w:val="32"/>
          <w:szCs w:val="32"/>
        </w:rPr>
        <w:t>条</w:t>
      </w: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引导基金及子基金在运作过程中不得从事以下业务：</w:t>
      </w:r>
    </w:p>
    <w:p>
      <w:pPr>
        <w:keepNext w:val="0"/>
        <w:keepLines w:val="0"/>
        <w:pageBreakBefore w:val="0"/>
        <w:kinsoku/>
        <w:wordWrap/>
        <w:overflowPunct/>
        <w:autoSpaceDE/>
        <w:autoSpaceDN/>
        <w:bidi w:val="0"/>
        <w:adjustRightInd w:val="0"/>
        <w:snapToGrid w:val="0"/>
        <w:spacing w:line="540" w:lineRule="exact"/>
        <w:ind w:right="0" w:rightChars="0" w:firstLine="627"/>
        <w:textAlignment w:val="auto"/>
        <w:rPr>
          <w:rFonts w:ascii="仿宋_GB2312" w:eastAsia="仿宋_GB2312"/>
          <w:sz w:val="32"/>
          <w:szCs w:val="32"/>
        </w:rPr>
      </w:pPr>
      <w:r>
        <w:rPr>
          <w:rFonts w:hint="eastAsia" w:ascii="仿宋_GB2312" w:eastAsia="仿宋_GB2312"/>
          <w:sz w:val="32"/>
          <w:szCs w:val="32"/>
        </w:rPr>
        <w:t>（一）融资担保以外的担保、抵押、委托贷款等；</w:t>
      </w:r>
    </w:p>
    <w:p>
      <w:pPr>
        <w:keepNext w:val="0"/>
        <w:keepLines w:val="0"/>
        <w:pageBreakBefore w:val="0"/>
        <w:kinsoku/>
        <w:wordWrap/>
        <w:overflowPunct/>
        <w:autoSpaceDE/>
        <w:autoSpaceDN/>
        <w:bidi w:val="0"/>
        <w:spacing w:line="540" w:lineRule="exact"/>
        <w:ind w:right="0" w:rightChars="0" w:firstLine="640" w:firstLineChars="200"/>
        <w:textAlignment w:val="auto"/>
        <w:rPr>
          <w:rFonts w:ascii="仿宋_GB2312" w:eastAsia="仿宋_GB2312"/>
          <w:sz w:val="32"/>
          <w:szCs w:val="32"/>
        </w:rPr>
      </w:pPr>
      <w:r>
        <w:rPr>
          <w:rFonts w:hint="eastAsia" w:ascii="仿宋_GB2312" w:eastAsia="仿宋_GB2312"/>
          <w:sz w:val="32"/>
          <w:szCs w:val="32"/>
        </w:rPr>
        <w:t>（二）投资二级市场股票、期货、房地产、证券投资基金、评级AAA以下的企业债、信托产品、非保本型理财产品、保险计划及其他金融衍生品；</w:t>
      </w:r>
    </w:p>
    <w:p>
      <w:pPr>
        <w:keepNext w:val="0"/>
        <w:keepLines w:val="0"/>
        <w:pageBreakBefore w:val="0"/>
        <w:kinsoku/>
        <w:wordWrap/>
        <w:overflowPunct/>
        <w:autoSpaceDE/>
        <w:autoSpaceDN/>
        <w:bidi w:val="0"/>
        <w:spacing w:line="540" w:lineRule="exact"/>
        <w:ind w:right="0" w:rightChars="0" w:firstLine="640" w:firstLineChars="200"/>
        <w:textAlignment w:val="auto"/>
        <w:rPr>
          <w:rFonts w:ascii="仿宋_GB2312" w:eastAsia="仿宋_GB2312"/>
          <w:sz w:val="32"/>
          <w:szCs w:val="32"/>
        </w:rPr>
      </w:pPr>
      <w:r>
        <w:rPr>
          <w:rFonts w:hint="eastAsia" w:ascii="仿宋_GB2312" w:eastAsia="仿宋_GB2312"/>
          <w:sz w:val="32"/>
          <w:szCs w:val="32"/>
        </w:rPr>
        <w:t>（三）向任何第三方提供赞助、捐赠（经批准的公益性捐赠除外）；</w:t>
      </w:r>
    </w:p>
    <w:p>
      <w:pPr>
        <w:keepNext w:val="0"/>
        <w:keepLines w:val="0"/>
        <w:pageBreakBefore w:val="0"/>
        <w:kinsoku/>
        <w:wordWrap/>
        <w:overflowPunct/>
        <w:autoSpaceDE/>
        <w:autoSpaceDN/>
        <w:bidi w:val="0"/>
        <w:spacing w:line="540" w:lineRule="exact"/>
        <w:ind w:right="0" w:rightChars="0" w:firstLine="640" w:firstLineChars="200"/>
        <w:textAlignment w:val="auto"/>
        <w:rPr>
          <w:rFonts w:ascii="仿宋_GB2312" w:eastAsia="仿宋_GB2312"/>
          <w:sz w:val="32"/>
          <w:szCs w:val="32"/>
        </w:rPr>
      </w:pPr>
      <w:r>
        <w:rPr>
          <w:rFonts w:hint="eastAsia" w:ascii="仿宋_GB2312" w:eastAsia="仿宋_GB2312"/>
          <w:sz w:val="32"/>
          <w:szCs w:val="32"/>
        </w:rPr>
        <w:t>（四）吸收或变相吸收存款，或向第三方提供贷款和资金拆借（可转股债权投资除外）；</w:t>
      </w:r>
    </w:p>
    <w:p>
      <w:pPr>
        <w:keepNext w:val="0"/>
        <w:keepLines w:val="0"/>
        <w:pageBreakBefore w:val="0"/>
        <w:kinsoku/>
        <w:wordWrap/>
        <w:overflowPunct/>
        <w:autoSpaceDE/>
        <w:autoSpaceDN/>
        <w:bidi w:val="0"/>
        <w:spacing w:line="540" w:lineRule="exact"/>
        <w:ind w:right="0" w:rightChars="0" w:firstLine="640" w:firstLineChars="200"/>
        <w:textAlignment w:val="auto"/>
        <w:rPr>
          <w:rFonts w:ascii="仿宋_GB2312" w:eastAsia="仿宋_GB2312"/>
          <w:sz w:val="32"/>
          <w:szCs w:val="32"/>
        </w:rPr>
      </w:pPr>
      <w:r>
        <w:rPr>
          <w:rFonts w:hint="eastAsia" w:ascii="仿宋_GB2312" w:eastAsia="仿宋_GB2312"/>
          <w:sz w:val="32"/>
          <w:szCs w:val="32"/>
        </w:rPr>
        <w:t>（五）进行承担无限连带责任的对外投资；</w:t>
      </w:r>
    </w:p>
    <w:p>
      <w:pPr>
        <w:keepNext w:val="0"/>
        <w:keepLines w:val="0"/>
        <w:pageBreakBefore w:val="0"/>
        <w:kinsoku/>
        <w:wordWrap/>
        <w:overflowPunct/>
        <w:autoSpaceDE/>
        <w:autoSpaceDN/>
        <w:bidi w:val="0"/>
        <w:spacing w:line="540" w:lineRule="exact"/>
        <w:ind w:right="0" w:rightChars="0" w:firstLine="640" w:firstLineChars="200"/>
        <w:textAlignment w:val="auto"/>
        <w:rPr>
          <w:rFonts w:ascii="仿宋_GB2312" w:eastAsia="仿宋_GB2312"/>
          <w:sz w:val="32"/>
          <w:szCs w:val="32"/>
        </w:rPr>
      </w:pPr>
      <w:r>
        <w:rPr>
          <w:rFonts w:hint="eastAsia" w:ascii="仿宋_GB2312" w:eastAsia="仿宋_GB2312"/>
          <w:sz w:val="32"/>
          <w:szCs w:val="32"/>
        </w:rPr>
        <w:t>（六）发行信托或集合理财产品募集资金；</w:t>
      </w:r>
    </w:p>
    <w:p>
      <w:pPr>
        <w:keepNext w:val="0"/>
        <w:keepLines w:val="0"/>
        <w:pageBreakBefore w:val="0"/>
        <w:kinsoku/>
        <w:wordWrap/>
        <w:overflowPunct/>
        <w:autoSpaceDE/>
        <w:autoSpaceDN/>
        <w:bidi w:val="0"/>
        <w:adjustRightInd w:val="0"/>
        <w:snapToGrid w:val="0"/>
        <w:spacing w:line="540" w:lineRule="exact"/>
        <w:ind w:right="0" w:rightChars="0" w:firstLine="627"/>
        <w:textAlignment w:val="auto"/>
        <w:rPr>
          <w:rFonts w:ascii="仿宋_GB2312" w:eastAsia="仿宋_GB2312"/>
          <w:sz w:val="32"/>
          <w:szCs w:val="32"/>
        </w:rPr>
      </w:pPr>
      <w:r>
        <w:rPr>
          <w:rFonts w:hint="eastAsia" w:ascii="仿宋_GB2312" w:eastAsia="仿宋_GB2312"/>
          <w:sz w:val="32"/>
          <w:szCs w:val="32"/>
        </w:rPr>
        <w:t>（七）其他法律、法规、规章禁止从事的业务。</w:t>
      </w:r>
    </w:p>
    <w:p>
      <w:pPr>
        <w:keepNext w:val="0"/>
        <w:keepLines w:val="0"/>
        <w:pageBreakBefore w:val="0"/>
        <w:kinsoku/>
        <w:wordWrap/>
        <w:overflowPunct/>
        <w:autoSpaceDE/>
        <w:autoSpaceDN/>
        <w:bidi w:val="0"/>
        <w:adjustRightInd w:val="0"/>
        <w:snapToGrid w:val="0"/>
        <w:spacing w:line="540" w:lineRule="exact"/>
        <w:ind w:right="0" w:rightChars="0" w:firstLine="627"/>
        <w:textAlignment w:val="auto"/>
        <w:rPr>
          <w:rFonts w:ascii="仿宋_GB2312" w:eastAsia="仿宋_GB2312"/>
          <w:sz w:val="32"/>
          <w:szCs w:val="32"/>
        </w:rPr>
      </w:pPr>
      <w:r>
        <w:rPr>
          <w:rFonts w:hint="eastAsia" w:ascii="楷体" w:hAnsi="楷体" w:eastAsia="楷体" w:cs="楷体"/>
          <w:sz w:val="28"/>
          <w:szCs w:val="28"/>
        </w:rPr>
        <w:t>【编制说明】政府投资基金及其子基金风险控制要求。</w:t>
      </w:r>
    </w:p>
    <w:p>
      <w:pPr>
        <w:keepNext w:val="0"/>
        <w:keepLines w:val="0"/>
        <w:pageBreakBefore w:val="0"/>
        <w:kinsoku/>
        <w:wordWrap/>
        <w:overflowPunct/>
        <w:autoSpaceDE/>
        <w:autoSpaceDN/>
        <w:bidi w:val="0"/>
        <w:adjustRightInd w:val="0"/>
        <w:snapToGrid w:val="0"/>
        <w:spacing w:line="540" w:lineRule="exact"/>
        <w:ind w:right="0" w:rightChars="0" w:firstLine="630" w:firstLineChars="196"/>
        <w:textAlignment w:val="auto"/>
        <w:rPr>
          <w:rFonts w:ascii="仿宋_GB2312" w:eastAsia="仿宋_GB2312"/>
          <w:sz w:val="32"/>
          <w:szCs w:val="32"/>
        </w:rPr>
      </w:pPr>
      <w:r>
        <w:rPr>
          <w:rFonts w:hint="eastAsia" w:ascii="宋体" w:hAnsi="宋体"/>
          <w:b/>
          <w:sz w:val="32"/>
          <w:szCs w:val="32"/>
        </w:rPr>
        <w:t>第二十</w:t>
      </w:r>
      <w:r>
        <w:rPr>
          <w:rFonts w:hint="eastAsia" w:ascii="宋体" w:hAnsi="宋体"/>
          <w:b/>
          <w:sz w:val="32"/>
          <w:szCs w:val="32"/>
          <w:lang w:eastAsia="zh-CN"/>
        </w:rPr>
        <w:t>八</w:t>
      </w:r>
      <w:r>
        <w:rPr>
          <w:rFonts w:hint="eastAsia" w:ascii="宋体" w:hAnsi="宋体"/>
          <w:b/>
          <w:sz w:val="32"/>
          <w:szCs w:val="32"/>
        </w:rPr>
        <w:t>条</w:t>
      </w:r>
      <w:r>
        <w:rPr>
          <w:rFonts w:hint="eastAsia"/>
        </w:rPr>
        <w:t xml:space="preserve">  </w:t>
      </w:r>
      <w:r>
        <w:rPr>
          <w:rFonts w:hint="eastAsia" w:ascii="仿宋_GB2312" w:eastAsia="仿宋_GB2312"/>
          <w:sz w:val="32"/>
          <w:szCs w:val="32"/>
        </w:rPr>
        <w:t>引导基金参股的子基金或被投资企业发生清算时，按照法律程序清偿债权人的债权后，按照事先签订的《合伙协议》或《企业章程》约定分配剩余财产。</w:t>
      </w:r>
    </w:p>
    <w:p>
      <w:pPr>
        <w:keepNext w:val="0"/>
        <w:keepLines w:val="0"/>
        <w:pageBreakBefore w:val="0"/>
        <w:kinsoku/>
        <w:wordWrap/>
        <w:overflowPunct/>
        <w:autoSpaceDE/>
        <w:autoSpaceDN/>
        <w:bidi w:val="0"/>
        <w:adjustRightInd w:val="0"/>
        <w:snapToGrid w:val="0"/>
        <w:spacing w:line="540" w:lineRule="exact"/>
        <w:ind w:right="0" w:rightChars="0" w:firstLine="548" w:firstLineChars="196"/>
        <w:textAlignment w:val="auto"/>
      </w:pPr>
      <w:r>
        <w:rPr>
          <w:rFonts w:hint="eastAsia" w:ascii="楷体" w:hAnsi="楷体" w:eastAsia="楷体" w:cs="楷体"/>
          <w:sz w:val="28"/>
          <w:szCs w:val="28"/>
        </w:rPr>
        <w:t>【编制说明】政府投资基金及子基金投资风险控制要求。</w:t>
      </w:r>
    </w:p>
    <w:p>
      <w:pPr>
        <w:keepNext w:val="0"/>
        <w:keepLines w:val="0"/>
        <w:pageBreakBefore w:val="0"/>
        <w:kinsoku/>
        <w:wordWrap/>
        <w:overflowPunct/>
        <w:autoSpaceDE/>
        <w:autoSpaceDN/>
        <w:bidi w:val="0"/>
        <w:adjustRightInd w:val="0"/>
        <w:snapToGrid w:val="0"/>
        <w:spacing w:line="540" w:lineRule="exact"/>
        <w:ind w:right="0" w:rightChars="0" w:firstLine="630" w:firstLineChars="196"/>
        <w:textAlignment w:val="auto"/>
        <w:rPr>
          <w:rFonts w:ascii="仿宋_GB2312" w:eastAsia="仿宋_GB2312"/>
          <w:sz w:val="32"/>
          <w:szCs w:val="32"/>
        </w:rPr>
      </w:pPr>
      <w:r>
        <w:rPr>
          <w:rFonts w:hint="eastAsia" w:ascii="宋体" w:hAnsi="宋体"/>
          <w:b/>
          <w:sz w:val="32"/>
          <w:szCs w:val="32"/>
        </w:rPr>
        <w:t>第二十</w:t>
      </w:r>
      <w:r>
        <w:rPr>
          <w:rFonts w:hint="eastAsia" w:ascii="宋体" w:hAnsi="宋体"/>
          <w:b/>
          <w:sz w:val="32"/>
          <w:szCs w:val="32"/>
          <w:lang w:eastAsia="zh-CN"/>
        </w:rPr>
        <w:t>九</w:t>
      </w:r>
      <w:r>
        <w:rPr>
          <w:rFonts w:hint="eastAsia" w:ascii="宋体" w:hAnsi="宋体"/>
          <w:b/>
          <w:sz w:val="32"/>
          <w:szCs w:val="32"/>
        </w:rPr>
        <w:t>条</w:t>
      </w:r>
      <w:r>
        <w:rPr>
          <w:rFonts w:hint="eastAsia"/>
        </w:rPr>
        <w:t xml:space="preserve">  </w:t>
      </w:r>
      <w:r>
        <w:rPr>
          <w:rFonts w:hint="eastAsia" w:ascii="仿宋_GB2312" w:eastAsia="仿宋_GB2312"/>
          <w:sz w:val="32"/>
          <w:szCs w:val="32"/>
        </w:rPr>
        <w:t>引导基金出资设立合伙制的子基金时，不得作为普通合伙人承担无限责任。</w:t>
      </w:r>
    </w:p>
    <w:p>
      <w:pPr>
        <w:keepNext w:val="0"/>
        <w:keepLines w:val="0"/>
        <w:pageBreakBefore w:val="0"/>
        <w:kinsoku/>
        <w:wordWrap/>
        <w:overflowPunct/>
        <w:autoSpaceDE/>
        <w:autoSpaceDN/>
        <w:bidi w:val="0"/>
        <w:adjustRightInd w:val="0"/>
        <w:snapToGrid w:val="0"/>
        <w:spacing w:line="540" w:lineRule="exact"/>
        <w:ind w:right="0" w:rightChars="0" w:firstLine="548" w:firstLineChars="196"/>
        <w:textAlignment w:val="auto"/>
        <w:rPr>
          <w:rFonts w:ascii="仿宋_GB2312" w:eastAsia="仿宋_GB2312"/>
          <w:sz w:val="32"/>
          <w:szCs w:val="32"/>
        </w:rPr>
      </w:pPr>
      <w:r>
        <w:rPr>
          <w:rFonts w:hint="eastAsia" w:ascii="楷体" w:hAnsi="楷体" w:eastAsia="楷体" w:cs="楷体"/>
          <w:sz w:val="28"/>
          <w:szCs w:val="28"/>
        </w:rPr>
        <w:t>【编制说明】政府投资基金风险控制要求。</w:t>
      </w:r>
    </w:p>
    <w:p>
      <w:pPr>
        <w:keepNext w:val="0"/>
        <w:keepLines w:val="0"/>
        <w:pageBreakBefore w:val="0"/>
        <w:kinsoku/>
        <w:wordWrap/>
        <w:overflowPunct/>
        <w:autoSpaceDE/>
        <w:autoSpaceDN/>
        <w:bidi w:val="0"/>
        <w:adjustRightInd w:val="0"/>
        <w:snapToGrid w:val="0"/>
        <w:spacing w:line="540" w:lineRule="exact"/>
        <w:ind w:right="0" w:rightChars="0" w:firstLine="630" w:firstLineChars="196"/>
        <w:textAlignment w:val="auto"/>
        <w:rPr>
          <w:rFonts w:ascii="仿宋_GB2312" w:eastAsia="仿宋_GB2312"/>
          <w:sz w:val="32"/>
          <w:szCs w:val="32"/>
        </w:rPr>
      </w:pPr>
      <w:r>
        <w:rPr>
          <w:rFonts w:hint="eastAsia" w:ascii="宋体" w:hAnsi="宋体"/>
          <w:b/>
          <w:sz w:val="32"/>
          <w:szCs w:val="32"/>
        </w:rPr>
        <w:t>第</w:t>
      </w:r>
      <w:r>
        <w:rPr>
          <w:rFonts w:hint="eastAsia" w:ascii="宋体" w:hAnsi="宋体"/>
          <w:b/>
          <w:sz w:val="32"/>
          <w:szCs w:val="32"/>
          <w:lang w:eastAsia="zh-CN"/>
        </w:rPr>
        <w:t>三十</w:t>
      </w:r>
      <w:r>
        <w:rPr>
          <w:rFonts w:hint="eastAsia" w:ascii="宋体" w:hAnsi="宋体"/>
          <w:b/>
          <w:sz w:val="32"/>
          <w:szCs w:val="32"/>
        </w:rPr>
        <w:t>条</w:t>
      </w:r>
      <w:r>
        <w:rPr>
          <w:rFonts w:hint="eastAsia"/>
        </w:rPr>
        <w:t xml:space="preserve">  </w:t>
      </w:r>
      <w:r>
        <w:rPr>
          <w:rFonts w:hint="eastAsia" w:ascii="仿宋_GB2312" w:eastAsia="仿宋_GB2312"/>
          <w:sz w:val="32"/>
          <w:szCs w:val="32"/>
        </w:rPr>
        <w:t>引导基金管理公司要加强对子基金的监管，密切跟踪其经营和财务状况，防范财务风险。引导基金管理公司不直接参与子基金的日常运作，但子基金的使用出现违法违规和偏离政策导向等情况时，要按协议终止与子基金管理机构的合作。</w:t>
      </w:r>
    </w:p>
    <w:p>
      <w:pPr>
        <w:keepNext w:val="0"/>
        <w:keepLines w:val="0"/>
        <w:pageBreakBefore w:val="0"/>
        <w:kinsoku/>
        <w:wordWrap/>
        <w:overflowPunct/>
        <w:autoSpaceDE/>
        <w:autoSpaceDN/>
        <w:bidi w:val="0"/>
        <w:adjustRightInd w:val="0"/>
        <w:snapToGrid w:val="0"/>
        <w:spacing w:line="540" w:lineRule="exact"/>
        <w:ind w:right="0" w:rightChars="0" w:firstLine="548" w:firstLineChars="196"/>
        <w:textAlignment w:val="auto"/>
        <w:rPr>
          <w:rFonts w:ascii="仿宋_GB2312" w:eastAsia="仿宋_GB2312"/>
          <w:sz w:val="32"/>
          <w:szCs w:val="32"/>
        </w:rPr>
      </w:pPr>
      <w:r>
        <w:rPr>
          <w:rFonts w:hint="eastAsia" w:ascii="楷体" w:hAnsi="楷体" w:eastAsia="楷体" w:cs="楷体"/>
          <w:sz w:val="28"/>
          <w:szCs w:val="28"/>
        </w:rPr>
        <w:t>【编制说明】对基金管理公司日常经营风险控制要求。</w:t>
      </w:r>
    </w:p>
    <w:p>
      <w:pPr>
        <w:keepNext w:val="0"/>
        <w:keepLines w:val="0"/>
        <w:pageBreakBefore w:val="0"/>
        <w:kinsoku/>
        <w:wordWrap/>
        <w:overflowPunct/>
        <w:autoSpaceDE/>
        <w:autoSpaceDN/>
        <w:bidi w:val="0"/>
        <w:adjustRightInd w:val="0"/>
        <w:snapToGrid w:val="0"/>
        <w:spacing w:line="540" w:lineRule="exact"/>
        <w:ind w:right="0" w:rightChars="0" w:firstLine="630" w:firstLineChars="196"/>
        <w:textAlignment w:val="auto"/>
        <w:rPr>
          <w:rFonts w:ascii="仿宋_GB2312" w:eastAsia="仿宋_GB2312"/>
          <w:sz w:val="32"/>
          <w:szCs w:val="32"/>
        </w:rPr>
      </w:pPr>
      <w:r>
        <w:rPr>
          <w:rFonts w:hint="eastAsia" w:ascii="宋体" w:hAnsi="宋体"/>
          <w:b/>
          <w:sz w:val="32"/>
          <w:szCs w:val="32"/>
        </w:rPr>
        <w:t>第三十</w:t>
      </w:r>
      <w:r>
        <w:rPr>
          <w:rFonts w:hint="eastAsia" w:ascii="宋体" w:hAnsi="宋体"/>
          <w:b/>
          <w:sz w:val="32"/>
          <w:szCs w:val="32"/>
          <w:lang w:eastAsia="zh-CN"/>
        </w:rPr>
        <w:t>一</w:t>
      </w:r>
      <w:r>
        <w:rPr>
          <w:rFonts w:hint="eastAsia" w:ascii="宋体" w:hAnsi="宋体"/>
          <w:b/>
          <w:sz w:val="32"/>
          <w:szCs w:val="32"/>
        </w:rPr>
        <w:t>条</w:t>
      </w:r>
      <w:r>
        <w:rPr>
          <w:rFonts w:hint="eastAsia"/>
        </w:rPr>
        <w:t xml:space="preserve">  </w:t>
      </w:r>
      <w:r>
        <w:rPr>
          <w:rFonts w:hint="eastAsia" w:ascii="仿宋_GB2312" w:eastAsia="仿宋_GB2312"/>
          <w:sz w:val="32"/>
          <w:szCs w:val="32"/>
        </w:rPr>
        <w:t>对引导基金运作中的弄虚作假骗取引导基金投资，或不按规定用途使用、截留挪用、挥霍浪费引导基金等违法违规行为，按国家有关法律法规处理。</w:t>
      </w:r>
    </w:p>
    <w:p>
      <w:pPr>
        <w:keepNext w:val="0"/>
        <w:keepLines w:val="0"/>
        <w:pageBreakBefore w:val="0"/>
        <w:kinsoku/>
        <w:wordWrap/>
        <w:overflowPunct/>
        <w:autoSpaceDE/>
        <w:autoSpaceDN/>
        <w:bidi w:val="0"/>
        <w:adjustRightInd w:val="0"/>
        <w:snapToGrid w:val="0"/>
        <w:spacing w:line="540" w:lineRule="exact"/>
        <w:ind w:right="0" w:rightChars="0" w:firstLine="548" w:firstLineChars="196"/>
        <w:textAlignment w:val="auto"/>
        <w:rPr>
          <w:rFonts w:ascii="仿宋_GB2312" w:eastAsia="仿宋_GB2312"/>
          <w:sz w:val="32"/>
          <w:szCs w:val="32"/>
        </w:rPr>
      </w:pPr>
      <w:r>
        <w:rPr>
          <w:rFonts w:hint="eastAsia" w:ascii="楷体" w:hAnsi="楷体" w:eastAsia="楷体" w:cs="楷体"/>
          <w:sz w:val="28"/>
          <w:szCs w:val="28"/>
        </w:rPr>
        <w:t>【编制说明】明确政府引导基金违法违规运作应承担的责任。</w:t>
      </w:r>
    </w:p>
    <w:p>
      <w:pPr>
        <w:keepNext w:val="0"/>
        <w:keepLines w:val="0"/>
        <w:pageBreakBefore w:val="0"/>
        <w:kinsoku/>
        <w:wordWrap/>
        <w:overflowPunct/>
        <w:autoSpaceDE/>
        <w:autoSpaceDN/>
        <w:bidi w:val="0"/>
        <w:adjustRightInd w:val="0"/>
        <w:snapToGrid w:val="0"/>
        <w:spacing w:line="540" w:lineRule="exact"/>
        <w:ind w:right="0" w:rightChars="0"/>
        <w:textAlignment w:val="auto"/>
      </w:pPr>
    </w:p>
    <w:p>
      <w:pPr>
        <w:keepNext w:val="0"/>
        <w:keepLines w:val="0"/>
        <w:pageBreakBefore w:val="0"/>
        <w:kinsoku/>
        <w:wordWrap/>
        <w:overflowPunct/>
        <w:autoSpaceDE/>
        <w:autoSpaceDN/>
        <w:bidi w:val="0"/>
        <w:adjustRightInd w:val="0"/>
        <w:snapToGrid w:val="0"/>
        <w:spacing w:line="540" w:lineRule="exact"/>
        <w:ind w:right="0" w:rightChars="0"/>
        <w:jc w:val="center"/>
        <w:textAlignment w:val="auto"/>
        <w:outlineLvl w:val="0"/>
        <w:rPr>
          <w:rFonts w:ascii="黑体" w:hAnsi="宋体" w:eastAsia="黑体"/>
          <w:b/>
          <w:sz w:val="32"/>
          <w:szCs w:val="32"/>
        </w:rPr>
      </w:pPr>
      <w:r>
        <w:rPr>
          <w:rFonts w:hint="eastAsia" w:ascii="黑体" w:hAnsi="宋体" w:eastAsia="黑体"/>
          <w:b/>
          <w:sz w:val="32"/>
          <w:szCs w:val="32"/>
        </w:rPr>
        <w:t>第七章  基金管理费及业绩奖励</w:t>
      </w:r>
    </w:p>
    <w:p>
      <w:pPr>
        <w:keepNext w:val="0"/>
        <w:keepLines w:val="0"/>
        <w:pageBreakBefore w:val="0"/>
        <w:kinsoku/>
        <w:wordWrap/>
        <w:overflowPunct/>
        <w:autoSpaceDE/>
        <w:autoSpaceDN/>
        <w:bidi w:val="0"/>
        <w:adjustRightInd w:val="0"/>
        <w:snapToGrid w:val="0"/>
        <w:spacing w:line="540" w:lineRule="exact"/>
        <w:ind w:right="0" w:rightChars="0" w:firstLine="630" w:firstLineChars="196"/>
        <w:textAlignment w:val="auto"/>
        <w:rPr>
          <w:rFonts w:ascii="仿宋_GB2312" w:hAnsi="宋体" w:eastAsia="仿宋_GB2312"/>
          <w:bCs/>
          <w:sz w:val="32"/>
          <w:szCs w:val="32"/>
        </w:rPr>
      </w:pPr>
      <w:r>
        <w:rPr>
          <w:rFonts w:hint="eastAsia" w:ascii="宋体" w:hAnsi="宋体"/>
          <w:b/>
          <w:sz w:val="32"/>
          <w:szCs w:val="32"/>
        </w:rPr>
        <w:t>第三十</w:t>
      </w:r>
      <w:r>
        <w:rPr>
          <w:rFonts w:hint="eastAsia" w:ascii="宋体" w:hAnsi="宋体"/>
          <w:b/>
          <w:sz w:val="32"/>
          <w:szCs w:val="32"/>
          <w:lang w:eastAsia="zh-CN"/>
        </w:rPr>
        <w:t>二</w:t>
      </w:r>
      <w:r>
        <w:rPr>
          <w:rFonts w:hint="eastAsia" w:ascii="宋体" w:hAnsi="宋体"/>
          <w:b/>
          <w:sz w:val="32"/>
          <w:szCs w:val="32"/>
        </w:rPr>
        <w:t>条</w:t>
      </w:r>
      <w:r>
        <w:rPr>
          <w:rFonts w:hint="eastAsia" w:ascii="仿宋_GB2312" w:hAnsi="宋体" w:eastAsia="仿宋_GB2312"/>
          <w:bCs/>
          <w:sz w:val="32"/>
          <w:szCs w:val="32"/>
        </w:rPr>
        <w:t xml:space="preserve">  引导基金受托管理机构作为引导基金出资机构代持基金股份，可提取委托管理费，具体如下：</w:t>
      </w:r>
    </w:p>
    <w:p>
      <w:pPr>
        <w:keepNext w:val="0"/>
        <w:keepLines w:val="0"/>
        <w:pageBreakBefore w:val="0"/>
        <w:kinsoku/>
        <w:wordWrap/>
        <w:overflowPunct/>
        <w:autoSpaceDE/>
        <w:autoSpaceDN/>
        <w:bidi w:val="0"/>
        <w:adjustRightInd w:val="0"/>
        <w:snapToGrid w:val="0"/>
        <w:spacing w:line="540" w:lineRule="exact"/>
        <w:ind w:right="0" w:rightChars="0" w:firstLine="627"/>
        <w:textAlignment w:val="auto"/>
        <w:rPr>
          <w:rFonts w:ascii="仿宋_GB2312" w:hAnsi="宋体" w:eastAsia="仿宋_GB2312"/>
          <w:bCs/>
          <w:sz w:val="32"/>
          <w:szCs w:val="32"/>
        </w:rPr>
      </w:pPr>
      <w:r>
        <w:rPr>
          <w:rFonts w:hint="eastAsia" w:ascii="仿宋_GB2312" w:hAnsi="宋体" w:eastAsia="仿宋_GB2312"/>
          <w:bCs/>
          <w:sz w:val="32"/>
          <w:szCs w:val="32"/>
        </w:rPr>
        <w:t>（一）提取标准。</w:t>
      </w:r>
    </w:p>
    <w:p>
      <w:pPr>
        <w:keepNext w:val="0"/>
        <w:keepLines w:val="0"/>
        <w:pageBreakBefore w:val="0"/>
        <w:kinsoku/>
        <w:wordWrap/>
        <w:overflowPunct/>
        <w:autoSpaceDE/>
        <w:autoSpaceDN/>
        <w:bidi w:val="0"/>
        <w:spacing w:line="540" w:lineRule="exact"/>
        <w:ind w:right="0" w:rightChars="0" w:firstLine="640" w:firstLineChars="200"/>
        <w:textAlignment w:val="auto"/>
        <w:rPr>
          <w:rFonts w:ascii="仿宋_GB2312" w:hAnsi="宋体" w:eastAsia="仿宋_GB2312"/>
          <w:bCs/>
          <w:sz w:val="32"/>
          <w:szCs w:val="32"/>
        </w:rPr>
      </w:pPr>
      <w:r>
        <w:rPr>
          <w:rFonts w:hint="eastAsia" w:ascii="仿宋_GB2312" w:hAnsi="宋体" w:eastAsia="仿宋_GB2312"/>
          <w:bCs/>
          <w:sz w:val="32"/>
          <w:szCs w:val="32"/>
        </w:rPr>
        <w:t>委托管理费计提基数为市财政出资额，1亿元及以下按0</w:t>
      </w:r>
      <w:r>
        <w:rPr>
          <w:rFonts w:ascii="仿宋_GB2312" w:hAnsi="宋体" w:eastAsia="仿宋_GB2312"/>
          <w:bCs/>
          <w:sz w:val="32"/>
          <w:szCs w:val="32"/>
        </w:rPr>
        <w:t>.5</w:t>
      </w:r>
      <w:r>
        <w:rPr>
          <w:rFonts w:hint="eastAsia" w:ascii="仿宋_GB2312" w:hAnsi="宋体" w:eastAsia="仿宋_GB2312"/>
          <w:bCs/>
          <w:sz w:val="32"/>
          <w:szCs w:val="32"/>
        </w:rPr>
        <w:t>%、1亿元-</w:t>
      </w:r>
      <w:r>
        <w:rPr>
          <w:rFonts w:ascii="仿宋_GB2312" w:hAnsi="宋体" w:eastAsia="仿宋_GB2312"/>
          <w:bCs/>
          <w:sz w:val="32"/>
          <w:szCs w:val="32"/>
        </w:rPr>
        <w:t>5</w:t>
      </w:r>
      <w:r>
        <w:rPr>
          <w:rFonts w:hint="eastAsia" w:ascii="仿宋_GB2312" w:hAnsi="宋体" w:eastAsia="仿宋_GB2312"/>
          <w:bCs/>
          <w:sz w:val="32"/>
          <w:szCs w:val="32"/>
        </w:rPr>
        <w:t>亿元（含5亿元）按0</w:t>
      </w:r>
      <w:r>
        <w:rPr>
          <w:rFonts w:ascii="仿宋_GB2312" w:hAnsi="宋体" w:eastAsia="仿宋_GB2312"/>
          <w:bCs/>
          <w:sz w:val="32"/>
          <w:szCs w:val="32"/>
        </w:rPr>
        <w:t>.25</w:t>
      </w:r>
      <w:r>
        <w:rPr>
          <w:rFonts w:hint="eastAsia" w:ascii="仿宋_GB2312" w:hAnsi="宋体" w:eastAsia="仿宋_GB2312"/>
          <w:bCs/>
          <w:sz w:val="32"/>
          <w:szCs w:val="32"/>
        </w:rPr>
        <w:t>%、5亿元以上按0</w:t>
      </w:r>
      <w:r>
        <w:rPr>
          <w:rFonts w:ascii="仿宋_GB2312" w:hAnsi="宋体" w:eastAsia="仿宋_GB2312"/>
          <w:bCs/>
          <w:sz w:val="32"/>
          <w:szCs w:val="32"/>
        </w:rPr>
        <w:t>.1</w:t>
      </w:r>
      <w:r>
        <w:rPr>
          <w:rFonts w:hint="eastAsia" w:ascii="仿宋_GB2312" w:hAnsi="宋体" w:eastAsia="仿宋_GB2312"/>
          <w:bCs/>
          <w:sz w:val="32"/>
          <w:szCs w:val="32"/>
        </w:rPr>
        <w:t>%超额累进计算并按年度支付。</w:t>
      </w:r>
    </w:p>
    <w:p>
      <w:pPr>
        <w:keepNext w:val="0"/>
        <w:keepLines w:val="0"/>
        <w:pageBreakBefore w:val="0"/>
        <w:kinsoku/>
        <w:wordWrap/>
        <w:overflowPunct/>
        <w:autoSpaceDE/>
        <w:autoSpaceDN/>
        <w:bidi w:val="0"/>
        <w:spacing w:line="540" w:lineRule="exact"/>
        <w:ind w:right="0" w:rightChars="0" w:firstLine="640" w:firstLineChars="200"/>
        <w:textAlignment w:val="auto"/>
        <w:rPr>
          <w:rFonts w:ascii="仿宋_GB2312" w:hAnsi="宋体" w:eastAsia="仿宋_GB2312"/>
          <w:bCs/>
          <w:sz w:val="32"/>
          <w:szCs w:val="32"/>
        </w:rPr>
      </w:pPr>
      <w:r>
        <w:rPr>
          <w:rFonts w:hint="eastAsia" w:ascii="仿宋_GB2312" w:hAnsi="宋体" w:eastAsia="仿宋_GB2312"/>
          <w:bCs/>
          <w:sz w:val="32"/>
          <w:szCs w:val="32"/>
        </w:rPr>
        <w:t>（二）提取年限。</w:t>
      </w:r>
    </w:p>
    <w:p>
      <w:pPr>
        <w:keepNext w:val="0"/>
        <w:keepLines w:val="0"/>
        <w:pageBreakBefore w:val="0"/>
        <w:kinsoku/>
        <w:wordWrap/>
        <w:overflowPunct/>
        <w:autoSpaceDE/>
        <w:autoSpaceDN/>
        <w:bidi w:val="0"/>
        <w:spacing w:line="540" w:lineRule="exact"/>
        <w:ind w:right="0" w:rightChars="0" w:firstLine="640" w:firstLineChars="200"/>
        <w:textAlignment w:val="auto"/>
        <w:rPr>
          <w:rFonts w:ascii="仿宋_GB2312" w:hAnsi="宋体" w:eastAsia="仿宋_GB2312"/>
          <w:bCs/>
          <w:sz w:val="32"/>
          <w:szCs w:val="32"/>
        </w:rPr>
      </w:pPr>
      <w:r>
        <w:rPr>
          <w:rFonts w:hint="eastAsia" w:ascii="仿宋_GB2312" w:hAnsi="宋体" w:eastAsia="仿宋_GB2312"/>
          <w:bCs/>
          <w:sz w:val="32"/>
          <w:szCs w:val="32"/>
        </w:rPr>
        <w:t>委托管理费由受托管理机构按年度提取，计提年限由市基金办与基金受托管理机构以协议方式约定，原则上不超过3年。</w:t>
      </w:r>
    </w:p>
    <w:p>
      <w:pPr>
        <w:keepNext w:val="0"/>
        <w:keepLines w:val="0"/>
        <w:pageBreakBefore w:val="0"/>
        <w:kinsoku/>
        <w:wordWrap/>
        <w:overflowPunct/>
        <w:autoSpaceDE/>
        <w:autoSpaceDN/>
        <w:bidi w:val="0"/>
        <w:spacing w:line="540" w:lineRule="exact"/>
        <w:ind w:right="0" w:rightChars="0" w:firstLine="640" w:firstLineChars="200"/>
        <w:textAlignment w:val="auto"/>
        <w:rPr>
          <w:rFonts w:ascii="仿宋_GB2312" w:hAnsi="宋体" w:eastAsia="仿宋_GB2312"/>
          <w:bCs/>
          <w:sz w:val="32"/>
          <w:szCs w:val="32"/>
        </w:rPr>
      </w:pPr>
      <w:r>
        <w:rPr>
          <w:rFonts w:hint="eastAsia" w:ascii="仿宋_GB2312" w:hAnsi="宋体" w:eastAsia="仿宋_GB2312"/>
          <w:bCs/>
          <w:sz w:val="32"/>
          <w:szCs w:val="32"/>
        </w:rPr>
        <w:t>（三）费用来源。</w:t>
      </w:r>
    </w:p>
    <w:p>
      <w:pPr>
        <w:keepNext w:val="0"/>
        <w:keepLines w:val="0"/>
        <w:pageBreakBefore w:val="0"/>
        <w:kinsoku/>
        <w:wordWrap/>
        <w:overflowPunct/>
        <w:autoSpaceDE/>
        <w:autoSpaceDN/>
        <w:bidi w:val="0"/>
        <w:spacing w:line="540" w:lineRule="exact"/>
        <w:ind w:right="0" w:rightChars="0" w:firstLine="640" w:firstLineChars="200"/>
        <w:textAlignment w:val="auto"/>
        <w:rPr>
          <w:rFonts w:ascii="仿宋_GB2312" w:hAnsi="宋体" w:eastAsia="仿宋_GB2312"/>
          <w:bCs/>
          <w:sz w:val="32"/>
          <w:szCs w:val="32"/>
        </w:rPr>
      </w:pPr>
      <w:r>
        <w:rPr>
          <w:rFonts w:hint="eastAsia" w:ascii="仿宋_GB2312" w:hAnsi="宋体" w:eastAsia="仿宋_GB2312"/>
          <w:bCs/>
          <w:sz w:val="32"/>
          <w:szCs w:val="32"/>
        </w:rPr>
        <w:t>费用来源从基金收益或利息中支付，如有不足则在母基金中列支。由受托管理机构根据委托协议的约定提出申请，报市基金办确认后提取。</w:t>
      </w:r>
    </w:p>
    <w:p>
      <w:pPr>
        <w:keepNext w:val="0"/>
        <w:keepLines w:val="0"/>
        <w:pageBreakBefore w:val="0"/>
        <w:kinsoku/>
        <w:wordWrap/>
        <w:overflowPunct/>
        <w:autoSpaceDE/>
        <w:autoSpaceDN/>
        <w:bidi w:val="0"/>
        <w:spacing w:line="540" w:lineRule="exact"/>
        <w:ind w:right="0" w:rightChars="0" w:firstLine="560" w:firstLineChars="200"/>
        <w:textAlignment w:val="auto"/>
        <w:rPr>
          <w:rFonts w:ascii="仿宋_GB2312" w:hAnsi="宋体" w:eastAsia="仿宋_GB2312"/>
          <w:bCs/>
          <w:sz w:val="32"/>
          <w:szCs w:val="32"/>
        </w:rPr>
      </w:pPr>
      <w:r>
        <w:rPr>
          <w:rFonts w:hint="eastAsia" w:ascii="楷体" w:hAnsi="楷体" w:eastAsia="楷体" w:cs="楷体"/>
          <w:sz w:val="28"/>
          <w:szCs w:val="28"/>
        </w:rPr>
        <w:t>【编制说明】政府投资基金向受托管理机构支付委托管理费的标准、年限及费用来源，参考《佛山市人民政府办公室关于印发佛山市本级政府投资基金管理实施办法的通知》（佛府办函〔2018〕996号）。</w:t>
      </w:r>
    </w:p>
    <w:p>
      <w:pPr>
        <w:keepNext w:val="0"/>
        <w:keepLines w:val="0"/>
        <w:pageBreakBefore w:val="0"/>
        <w:kinsoku/>
        <w:wordWrap/>
        <w:overflowPunct/>
        <w:autoSpaceDE/>
        <w:autoSpaceDN/>
        <w:bidi w:val="0"/>
        <w:spacing w:line="540" w:lineRule="exact"/>
        <w:ind w:right="0" w:rightChars="0" w:firstLine="643" w:firstLineChars="200"/>
        <w:textAlignment w:val="auto"/>
        <w:rPr>
          <w:rFonts w:ascii="仿宋_GB2312" w:hAnsi="宋体" w:eastAsia="仿宋_GB2312"/>
          <w:bCs/>
          <w:sz w:val="32"/>
          <w:szCs w:val="32"/>
        </w:rPr>
      </w:pPr>
      <w:r>
        <w:rPr>
          <w:rFonts w:hint="eastAsia" w:ascii="宋体" w:hAnsi="宋体"/>
          <w:b/>
          <w:sz w:val="32"/>
          <w:szCs w:val="32"/>
        </w:rPr>
        <w:t>第三十</w:t>
      </w:r>
      <w:r>
        <w:rPr>
          <w:rFonts w:hint="eastAsia" w:ascii="宋体" w:hAnsi="宋体"/>
          <w:b/>
          <w:sz w:val="32"/>
          <w:szCs w:val="32"/>
          <w:lang w:eastAsia="zh-CN"/>
        </w:rPr>
        <w:t>三</w:t>
      </w:r>
      <w:r>
        <w:rPr>
          <w:rFonts w:hint="eastAsia" w:ascii="宋体" w:hAnsi="宋体"/>
          <w:b/>
          <w:sz w:val="32"/>
          <w:szCs w:val="32"/>
        </w:rPr>
        <w:t>条</w:t>
      </w:r>
      <w:r>
        <w:rPr>
          <w:rFonts w:hint="eastAsia" w:ascii="仿宋_GB2312" w:hAnsi="宋体" w:eastAsia="仿宋_GB2312"/>
          <w:bCs/>
          <w:sz w:val="32"/>
          <w:szCs w:val="32"/>
        </w:rPr>
        <w:t xml:space="preserve"> </w:t>
      </w:r>
      <w:r>
        <w:rPr>
          <w:rFonts w:ascii="仿宋_GB2312" w:hAnsi="宋体" w:eastAsia="仿宋_GB2312"/>
          <w:bCs/>
          <w:sz w:val="32"/>
          <w:szCs w:val="32"/>
        </w:rPr>
        <w:t xml:space="preserve"> </w:t>
      </w:r>
      <w:r>
        <w:rPr>
          <w:rFonts w:hint="eastAsia" w:ascii="仿宋_GB2312" w:hAnsi="宋体" w:eastAsia="仿宋_GB2312"/>
          <w:bCs/>
          <w:sz w:val="32"/>
          <w:szCs w:val="32"/>
        </w:rPr>
        <w:t>基金管理人作为引导基金日常管理机构，可在限额内对母基金市财政出资部门提取母基金管理费。如基金管理人同时作为受托管理机构，则不再提取委托管理费，具体如下：</w:t>
      </w:r>
    </w:p>
    <w:p>
      <w:pPr>
        <w:keepNext w:val="0"/>
        <w:keepLines w:val="0"/>
        <w:pageBreakBefore w:val="0"/>
        <w:kinsoku/>
        <w:wordWrap/>
        <w:overflowPunct/>
        <w:autoSpaceDE/>
        <w:autoSpaceDN/>
        <w:bidi w:val="0"/>
        <w:adjustRightInd w:val="0"/>
        <w:snapToGrid w:val="0"/>
        <w:spacing w:line="540" w:lineRule="exact"/>
        <w:ind w:right="0" w:rightChars="0" w:firstLine="627"/>
        <w:textAlignment w:val="auto"/>
        <w:rPr>
          <w:rFonts w:ascii="仿宋_GB2312" w:hAnsi="宋体" w:eastAsia="仿宋_GB2312"/>
          <w:bCs/>
          <w:sz w:val="32"/>
          <w:szCs w:val="32"/>
        </w:rPr>
      </w:pPr>
      <w:r>
        <w:rPr>
          <w:rFonts w:hint="eastAsia" w:ascii="仿宋_GB2312" w:hAnsi="宋体" w:eastAsia="仿宋_GB2312"/>
          <w:bCs/>
          <w:sz w:val="32"/>
          <w:szCs w:val="32"/>
        </w:rPr>
        <w:t>（一）提取标准。</w:t>
      </w:r>
    </w:p>
    <w:p>
      <w:pPr>
        <w:keepNext w:val="0"/>
        <w:keepLines w:val="0"/>
        <w:pageBreakBefore w:val="0"/>
        <w:kinsoku/>
        <w:wordWrap/>
        <w:overflowPunct/>
        <w:autoSpaceDE/>
        <w:autoSpaceDN/>
        <w:bidi w:val="0"/>
        <w:spacing w:line="540" w:lineRule="exact"/>
        <w:ind w:right="0" w:rightChars="0" w:firstLine="640" w:firstLineChars="200"/>
        <w:textAlignment w:val="auto"/>
        <w:rPr>
          <w:rFonts w:ascii="仿宋_GB2312" w:hAnsi="宋体" w:eastAsia="仿宋_GB2312"/>
          <w:bCs/>
          <w:sz w:val="32"/>
          <w:szCs w:val="32"/>
        </w:rPr>
      </w:pPr>
      <w:r>
        <w:rPr>
          <w:rFonts w:hint="eastAsia" w:ascii="仿宋_GB2312" w:hAnsi="宋体" w:eastAsia="仿宋_GB2312"/>
          <w:bCs/>
          <w:sz w:val="32"/>
          <w:szCs w:val="32"/>
        </w:rPr>
        <w:t>基金管理费计提基数为母基金实缴到子基金的资金额度与母基金实际投放到具体项目的资金额度之和，按每年2%的费率计算。</w:t>
      </w:r>
    </w:p>
    <w:p>
      <w:pPr>
        <w:keepNext w:val="0"/>
        <w:keepLines w:val="0"/>
        <w:pageBreakBefore w:val="0"/>
        <w:kinsoku/>
        <w:wordWrap/>
        <w:overflowPunct/>
        <w:autoSpaceDE/>
        <w:autoSpaceDN/>
        <w:bidi w:val="0"/>
        <w:spacing w:line="540" w:lineRule="exact"/>
        <w:ind w:right="0" w:rightChars="0" w:firstLine="640" w:firstLineChars="200"/>
        <w:textAlignment w:val="auto"/>
        <w:rPr>
          <w:rFonts w:ascii="仿宋_GB2312" w:hAnsi="宋体" w:eastAsia="仿宋_GB2312"/>
          <w:bCs/>
          <w:sz w:val="32"/>
          <w:szCs w:val="32"/>
        </w:rPr>
      </w:pPr>
      <w:r>
        <w:rPr>
          <w:rFonts w:hint="eastAsia" w:ascii="仿宋_GB2312" w:hAnsi="宋体" w:eastAsia="仿宋_GB2312"/>
          <w:bCs/>
          <w:sz w:val="32"/>
          <w:szCs w:val="32"/>
        </w:rPr>
        <w:t>以上为母基金管理费总提取限额，执行上述限额标准时，还需同时遵守以下条件：</w:t>
      </w:r>
    </w:p>
    <w:p>
      <w:pPr>
        <w:keepNext w:val="0"/>
        <w:keepLines w:val="0"/>
        <w:pageBreakBefore w:val="0"/>
        <w:kinsoku/>
        <w:wordWrap/>
        <w:overflowPunct/>
        <w:autoSpaceDE/>
        <w:autoSpaceDN/>
        <w:bidi w:val="0"/>
        <w:adjustRightInd w:val="0"/>
        <w:snapToGrid w:val="0"/>
        <w:spacing w:line="540" w:lineRule="exact"/>
        <w:ind w:right="0" w:rightChars="0" w:firstLine="627"/>
        <w:textAlignment w:val="auto"/>
        <w:rPr>
          <w:rFonts w:ascii="仿宋_GB2312" w:hAnsi="宋体" w:eastAsia="仿宋_GB2312"/>
          <w:bCs/>
          <w:sz w:val="32"/>
          <w:szCs w:val="32"/>
        </w:rPr>
      </w:pPr>
      <w:r>
        <w:rPr>
          <w:rFonts w:hint="eastAsia" w:ascii="仿宋_GB2312" w:hAnsi="宋体" w:eastAsia="仿宋_GB2312"/>
          <w:bCs/>
          <w:sz w:val="32"/>
          <w:szCs w:val="32"/>
        </w:rPr>
        <w:t>1.投资结束后回收的资金相应从实缴到子基金或母基金实际投放到具体项目的资金额度中扣减。</w:t>
      </w:r>
    </w:p>
    <w:p>
      <w:pPr>
        <w:keepNext w:val="0"/>
        <w:keepLines w:val="0"/>
        <w:pageBreakBefore w:val="0"/>
        <w:kinsoku/>
        <w:wordWrap/>
        <w:overflowPunct/>
        <w:autoSpaceDE/>
        <w:autoSpaceDN/>
        <w:bidi w:val="0"/>
        <w:spacing w:line="540" w:lineRule="exact"/>
        <w:ind w:right="0" w:rightChars="0" w:firstLine="640" w:firstLineChars="200"/>
        <w:textAlignment w:val="auto"/>
        <w:rPr>
          <w:rFonts w:ascii="仿宋_GB2312" w:hAnsi="宋体" w:eastAsia="仿宋_GB2312"/>
          <w:bCs/>
          <w:sz w:val="32"/>
          <w:szCs w:val="32"/>
        </w:rPr>
      </w:pPr>
      <w:r>
        <w:rPr>
          <w:rFonts w:ascii="仿宋_GB2312" w:hAnsi="宋体" w:eastAsia="仿宋_GB2312"/>
          <w:bCs/>
          <w:sz w:val="32"/>
          <w:szCs w:val="32"/>
        </w:rPr>
        <w:t>2.</w:t>
      </w:r>
      <w:r>
        <w:rPr>
          <w:rFonts w:hint="eastAsia" w:ascii="仿宋_GB2312" w:hAnsi="宋体" w:eastAsia="仿宋_GB2312"/>
          <w:bCs/>
          <w:sz w:val="32"/>
          <w:szCs w:val="32"/>
        </w:rPr>
        <w:t>子基金管理费按照子基金合伙协议提取，如受托管理机构（含其子公司）同时作为母、子基金管理人，则受托管理机构享受的母子基金管理费提取额度合计不超过实缴到子基金的市财政出资资金额度的2%。</w:t>
      </w:r>
    </w:p>
    <w:p>
      <w:pPr>
        <w:keepNext w:val="0"/>
        <w:keepLines w:val="0"/>
        <w:pageBreakBefore w:val="0"/>
        <w:kinsoku/>
        <w:wordWrap/>
        <w:overflowPunct/>
        <w:autoSpaceDE/>
        <w:autoSpaceDN/>
        <w:bidi w:val="0"/>
        <w:spacing w:line="540" w:lineRule="exact"/>
        <w:ind w:right="0" w:rightChars="0" w:firstLine="640" w:firstLineChars="200"/>
        <w:textAlignment w:val="auto"/>
        <w:rPr>
          <w:rFonts w:ascii="仿宋_GB2312" w:hAnsi="宋体" w:eastAsia="仿宋_GB2312"/>
          <w:bCs/>
          <w:sz w:val="32"/>
          <w:szCs w:val="32"/>
        </w:rPr>
      </w:pPr>
      <w:r>
        <w:rPr>
          <w:rFonts w:hint="eastAsia" w:ascii="仿宋_GB2312" w:hAnsi="宋体" w:eastAsia="仿宋_GB2312"/>
          <w:bCs/>
          <w:sz w:val="32"/>
          <w:szCs w:val="32"/>
        </w:rPr>
        <w:t>（二）提取年限。</w:t>
      </w:r>
    </w:p>
    <w:p>
      <w:pPr>
        <w:keepNext w:val="0"/>
        <w:keepLines w:val="0"/>
        <w:pageBreakBefore w:val="0"/>
        <w:kinsoku/>
        <w:wordWrap/>
        <w:overflowPunct/>
        <w:autoSpaceDE/>
        <w:autoSpaceDN/>
        <w:bidi w:val="0"/>
        <w:spacing w:line="540" w:lineRule="exact"/>
        <w:ind w:right="0" w:rightChars="0" w:firstLine="640" w:firstLineChars="200"/>
        <w:textAlignment w:val="auto"/>
        <w:rPr>
          <w:rFonts w:ascii="仿宋_GB2312" w:hAnsi="宋体" w:eastAsia="仿宋_GB2312"/>
          <w:bCs/>
          <w:sz w:val="32"/>
          <w:szCs w:val="32"/>
        </w:rPr>
      </w:pPr>
      <w:r>
        <w:rPr>
          <w:rFonts w:hint="eastAsia" w:ascii="仿宋_GB2312" w:hAnsi="宋体" w:eastAsia="仿宋_GB2312"/>
          <w:bCs/>
          <w:sz w:val="32"/>
          <w:szCs w:val="32"/>
        </w:rPr>
        <w:t>母基金管理费由基金管理人按规定分年度提取，计提年限为基金存续年限。</w:t>
      </w:r>
    </w:p>
    <w:p>
      <w:pPr>
        <w:keepNext w:val="0"/>
        <w:keepLines w:val="0"/>
        <w:pageBreakBefore w:val="0"/>
        <w:kinsoku/>
        <w:wordWrap/>
        <w:overflowPunct/>
        <w:autoSpaceDE/>
        <w:autoSpaceDN/>
        <w:bidi w:val="0"/>
        <w:spacing w:line="540" w:lineRule="exact"/>
        <w:ind w:right="0" w:rightChars="0" w:firstLine="640" w:firstLineChars="200"/>
        <w:textAlignment w:val="auto"/>
        <w:rPr>
          <w:rFonts w:ascii="仿宋_GB2312" w:hAnsi="宋体" w:eastAsia="仿宋_GB2312"/>
          <w:bCs/>
          <w:sz w:val="32"/>
          <w:szCs w:val="32"/>
        </w:rPr>
      </w:pPr>
      <w:r>
        <w:rPr>
          <w:rFonts w:hint="eastAsia" w:ascii="仿宋_GB2312" w:hAnsi="宋体" w:eastAsia="仿宋_GB2312"/>
          <w:bCs/>
          <w:sz w:val="32"/>
          <w:szCs w:val="32"/>
        </w:rPr>
        <w:t>（三）费用来源。</w:t>
      </w:r>
    </w:p>
    <w:p>
      <w:pPr>
        <w:keepNext w:val="0"/>
        <w:keepLines w:val="0"/>
        <w:pageBreakBefore w:val="0"/>
        <w:kinsoku/>
        <w:wordWrap/>
        <w:overflowPunct/>
        <w:autoSpaceDE/>
        <w:autoSpaceDN/>
        <w:bidi w:val="0"/>
        <w:spacing w:line="540" w:lineRule="exact"/>
        <w:ind w:right="0" w:rightChars="0" w:firstLine="640" w:firstLineChars="200"/>
        <w:textAlignment w:val="auto"/>
        <w:rPr>
          <w:rFonts w:ascii="仿宋_GB2312" w:hAnsi="宋体" w:eastAsia="仿宋_GB2312"/>
          <w:bCs/>
          <w:sz w:val="32"/>
          <w:szCs w:val="32"/>
        </w:rPr>
      </w:pPr>
      <w:r>
        <w:rPr>
          <w:rFonts w:hint="eastAsia" w:ascii="仿宋_GB2312" w:hAnsi="宋体" w:eastAsia="仿宋_GB2312"/>
          <w:bCs/>
          <w:sz w:val="32"/>
          <w:szCs w:val="32"/>
        </w:rPr>
        <w:t>费用来源从基金收益或利息中支付，如有不足则在基金中列支。由基金管理人根据协议的约定提出申请，经受托管理机构审核后，报市基金办确认后提取。</w:t>
      </w:r>
    </w:p>
    <w:p>
      <w:pPr>
        <w:keepNext w:val="0"/>
        <w:keepLines w:val="0"/>
        <w:pageBreakBefore w:val="0"/>
        <w:kinsoku/>
        <w:wordWrap/>
        <w:overflowPunct/>
        <w:autoSpaceDE/>
        <w:autoSpaceDN/>
        <w:bidi w:val="0"/>
        <w:spacing w:line="540" w:lineRule="exact"/>
        <w:ind w:right="0" w:rightChars="0" w:firstLine="560" w:firstLineChars="200"/>
        <w:textAlignment w:val="auto"/>
        <w:rPr>
          <w:rFonts w:ascii="仿宋_GB2312" w:hAnsi="宋体" w:eastAsia="仿宋_GB2312"/>
          <w:bCs/>
          <w:sz w:val="32"/>
          <w:szCs w:val="32"/>
        </w:rPr>
      </w:pPr>
      <w:r>
        <w:rPr>
          <w:rFonts w:hint="eastAsia" w:ascii="楷体" w:hAnsi="楷体" w:eastAsia="楷体" w:cs="楷体"/>
          <w:sz w:val="28"/>
          <w:szCs w:val="28"/>
        </w:rPr>
        <w:t>【编制说明】政府引导基金向基金管理公司支付管理费的标准、计算方式、年限、费用来源。</w:t>
      </w:r>
    </w:p>
    <w:p>
      <w:pPr>
        <w:keepNext w:val="0"/>
        <w:keepLines w:val="0"/>
        <w:pageBreakBefore w:val="0"/>
        <w:kinsoku/>
        <w:wordWrap/>
        <w:overflowPunct/>
        <w:autoSpaceDE/>
        <w:autoSpaceDN/>
        <w:bidi w:val="0"/>
        <w:spacing w:line="540" w:lineRule="exact"/>
        <w:ind w:right="0" w:rightChars="0" w:firstLine="643" w:firstLineChars="200"/>
        <w:textAlignment w:val="auto"/>
        <w:rPr>
          <w:rFonts w:ascii="仿宋_GB2312" w:hAnsi="宋体" w:eastAsia="仿宋_GB2312"/>
          <w:bCs/>
          <w:sz w:val="32"/>
          <w:szCs w:val="32"/>
        </w:rPr>
      </w:pPr>
      <w:r>
        <w:rPr>
          <w:rFonts w:hint="eastAsia" w:ascii="宋体" w:hAnsi="宋体"/>
          <w:b/>
          <w:sz w:val="32"/>
          <w:szCs w:val="32"/>
        </w:rPr>
        <w:t>第三十</w:t>
      </w:r>
      <w:r>
        <w:rPr>
          <w:rFonts w:hint="eastAsia" w:ascii="宋体" w:hAnsi="宋体"/>
          <w:b/>
          <w:sz w:val="32"/>
          <w:szCs w:val="32"/>
          <w:lang w:eastAsia="zh-CN"/>
        </w:rPr>
        <w:t>四</w:t>
      </w:r>
      <w:r>
        <w:rPr>
          <w:rFonts w:hint="eastAsia" w:ascii="宋体" w:hAnsi="宋体"/>
          <w:b/>
          <w:sz w:val="32"/>
          <w:szCs w:val="32"/>
        </w:rPr>
        <w:t>条</w:t>
      </w:r>
      <w:r>
        <w:rPr>
          <w:rFonts w:hint="eastAsia" w:ascii="仿宋_GB2312" w:hAnsi="宋体" w:eastAsia="仿宋_GB2312"/>
          <w:bCs/>
          <w:sz w:val="32"/>
          <w:szCs w:val="32"/>
        </w:rPr>
        <w:t xml:space="preserve"> </w:t>
      </w:r>
      <w:r>
        <w:rPr>
          <w:rFonts w:ascii="仿宋_GB2312" w:hAnsi="宋体" w:eastAsia="仿宋_GB2312"/>
          <w:bCs/>
          <w:sz w:val="32"/>
          <w:szCs w:val="32"/>
        </w:rPr>
        <w:t xml:space="preserve"> </w:t>
      </w:r>
      <w:r>
        <w:rPr>
          <w:rFonts w:hint="eastAsia" w:ascii="仿宋_GB2312" w:hAnsi="宋体" w:eastAsia="仿宋_GB2312"/>
          <w:bCs/>
          <w:sz w:val="32"/>
          <w:szCs w:val="32"/>
        </w:rPr>
        <w:t>以引导基金出资参股政府指定的其他基金且母基金管理人不作为参股基金的管理人，则母基金该份额出资不收取基金管理费，按委托管理费标准提取委托管理费；如以引导基金出资参股政府指定的其他基金，又同时作为该类基金管理人并已收取该类基金管理费，市级层面不再提取母基金管理费及委托管理费。</w:t>
      </w:r>
    </w:p>
    <w:p>
      <w:pPr>
        <w:keepNext w:val="0"/>
        <w:keepLines w:val="0"/>
        <w:pageBreakBefore w:val="0"/>
        <w:kinsoku/>
        <w:wordWrap/>
        <w:overflowPunct/>
        <w:autoSpaceDE/>
        <w:autoSpaceDN/>
        <w:bidi w:val="0"/>
        <w:spacing w:line="540" w:lineRule="exact"/>
        <w:ind w:right="0" w:rightChars="0" w:firstLine="560" w:firstLineChars="200"/>
        <w:textAlignment w:val="auto"/>
        <w:rPr>
          <w:rFonts w:ascii="仿宋_GB2312" w:hAnsi="宋体" w:eastAsia="仿宋_GB2312"/>
          <w:bCs/>
          <w:sz w:val="32"/>
          <w:szCs w:val="32"/>
        </w:rPr>
      </w:pPr>
      <w:r>
        <w:rPr>
          <w:rFonts w:hint="eastAsia" w:ascii="楷体" w:hAnsi="楷体" w:eastAsia="楷体" w:cs="楷体"/>
          <w:sz w:val="28"/>
          <w:szCs w:val="28"/>
        </w:rPr>
        <w:t>【编制说明】对政府投资基金管理公司提取管理费的要求，参考《佛山市人民政府办公室关于印发佛山市本级政府投资基金管理实施办法的通知》（佛府办函〔2018〕996号）。</w:t>
      </w:r>
    </w:p>
    <w:p>
      <w:pPr>
        <w:keepNext w:val="0"/>
        <w:keepLines w:val="0"/>
        <w:pageBreakBefore w:val="0"/>
        <w:kinsoku/>
        <w:wordWrap/>
        <w:overflowPunct/>
        <w:autoSpaceDE/>
        <w:autoSpaceDN/>
        <w:bidi w:val="0"/>
        <w:adjustRightInd w:val="0"/>
        <w:snapToGrid w:val="0"/>
        <w:spacing w:line="540" w:lineRule="exact"/>
        <w:ind w:right="0" w:rightChars="0" w:firstLine="627"/>
        <w:textAlignment w:val="auto"/>
        <w:rPr>
          <w:rFonts w:ascii="仿宋_GB2312" w:hAnsi="宋体" w:eastAsia="仿宋_GB2312"/>
          <w:bCs/>
          <w:sz w:val="32"/>
          <w:szCs w:val="32"/>
        </w:rPr>
      </w:pPr>
      <w:r>
        <w:rPr>
          <w:rFonts w:hint="eastAsia" w:ascii="宋体" w:hAnsi="宋体"/>
          <w:b/>
          <w:sz w:val="32"/>
          <w:szCs w:val="32"/>
        </w:rPr>
        <w:t>第三十</w:t>
      </w:r>
      <w:r>
        <w:rPr>
          <w:rFonts w:hint="eastAsia" w:ascii="宋体" w:hAnsi="宋体"/>
          <w:b/>
          <w:sz w:val="32"/>
          <w:szCs w:val="32"/>
          <w:lang w:eastAsia="zh-CN"/>
        </w:rPr>
        <w:t>五</w:t>
      </w:r>
      <w:r>
        <w:rPr>
          <w:rFonts w:hint="eastAsia" w:ascii="宋体" w:hAnsi="宋体"/>
          <w:b/>
          <w:sz w:val="32"/>
          <w:szCs w:val="32"/>
        </w:rPr>
        <w:t>条</w:t>
      </w:r>
      <w:r>
        <w:rPr>
          <w:rFonts w:hint="eastAsia" w:ascii="仿宋_GB2312" w:hAnsi="宋体" w:eastAsia="仿宋_GB2312"/>
          <w:bCs/>
          <w:sz w:val="32"/>
          <w:szCs w:val="32"/>
        </w:rPr>
        <w:t xml:space="preserve"> </w:t>
      </w:r>
      <w:r>
        <w:rPr>
          <w:rFonts w:ascii="仿宋_GB2312" w:hAnsi="宋体" w:eastAsia="仿宋_GB2312"/>
          <w:bCs/>
          <w:sz w:val="32"/>
          <w:szCs w:val="32"/>
        </w:rPr>
        <w:t xml:space="preserve"> </w:t>
      </w:r>
      <w:r>
        <w:rPr>
          <w:rFonts w:hint="eastAsia" w:ascii="仿宋_GB2312" w:hAnsi="宋体" w:eastAsia="仿宋_GB2312"/>
          <w:bCs/>
          <w:sz w:val="32"/>
          <w:szCs w:val="32"/>
        </w:rPr>
        <w:t>管理费由引导基金受托管理机构和母基金管理公司分别用于各自办公场地、办公用品、人员薪酬、差旅费、尽职调查费、团队奖励、聘请第三方中介机构费用、注册费及其他履行各自职责过程中产生的费用。实际费用超过管理费提取标准的，由引导基金受托管理机构和母基金管理公司自行承担。</w:t>
      </w:r>
    </w:p>
    <w:p>
      <w:pPr>
        <w:keepNext w:val="0"/>
        <w:keepLines w:val="0"/>
        <w:pageBreakBefore w:val="0"/>
        <w:kinsoku/>
        <w:wordWrap/>
        <w:overflowPunct/>
        <w:autoSpaceDE/>
        <w:autoSpaceDN/>
        <w:bidi w:val="0"/>
        <w:adjustRightInd w:val="0"/>
        <w:snapToGrid w:val="0"/>
        <w:spacing w:line="540" w:lineRule="exact"/>
        <w:ind w:right="0" w:rightChars="0" w:firstLine="627"/>
        <w:textAlignment w:val="auto"/>
        <w:rPr>
          <w:rFonts w:ascii="仿宋_GB2312" w:hAnsi="宋体" w:eastAsia="仿宋_GB2312"/>
          <w:bCs/>
          <w:sz w:val="32"/>
          <w:szCs w:val="32"/>
        </w:rPr>
      </w:pPr>
      <w:r>
        <w:rPr>
          <w:rFonts w:hint="eastAsia" w:ascii="楷体" w:hAnsi="楷体" w:eastAsia="楷体" w:cs="楷体"/>
          <w:sz w:val="28"/>
          <w:szCs w:val="28"/>
        </w:rPr>
        <w:t>【编制说明】对政府投资基金管理费用途的要求，参考《佛山市人民政府办公室关于印发佛山市本级政府投资基金管理实施办法的通知》（佛府办函〔2018〕996号）。</w:t>
      </w:r>
    </w:p>
    <w:p>
      <w:pPr>
        <w:keepNext w:val="0"/>
        <w:keepLines w:val="0"/>
        <w:pageBreakBefore w:val="0"/>
        <w:kinsoku/>
        <w:wordWrap/>
        <w:overflowPunct/>
        <w:autoSpaceDE/>
        <w:autoSpaceDN/>
        <w:bidi w:val="0"/>
        <w:adjustRightInd w:val="0"/>
        <w:snapToGrid w:val="0"/>
        <w:spacing w:line="540" w:lineRule="exact"/>
        <w:ind w:right="0" w:rightChars="0" w:firstLine="630" w:firstLineChars="196"/>
        <w:textAlignment w:val="auto"/>
        <w:rPr>
          <w:rFonts w:ascii="仿宋_GB2312" w:eastAsia="仿宋_GB2312"/>
          <w:sz w:val="32"/>
          <w:szCs w:val="32"/>
        </w:rPr>
      </w:pPr>
      <w:r>
        <w:rPr>
          <w:rFonts w:hint="eastAsia" w:ascii="宋体" w:hAnsi="宋体"/>
          <w:b/>
          <w:sz w:val="32"/>
          <w:szCs w:val="32"/>
        </w:rPr>
        <w:t>第三十</w:t>
      </w:r>
      <w:r>
        <w:rPr>
          <w:rFonts w:hint="eastAsia" w:ascii="宋体" w:hAnsi="宋体"/>
          <w:b/>
          <w:sz w:val="32"/>
          <w:szCs w:val="32"/>
          <w:lang w:eastAsia="zh-CN"/>
        </w:rPr>
        <w:t>六</w:t>
      </w:r>
      <w:r>
        <w:rPr>
          <w:rFonts w:hint="eastAsia" w:ascii="宋体" w:hAnsi="宋体"/>
          <w:b/>
          <w:sz w:val="32"/>
          <w:szCs w:val="32"/>
        </w:rPr>
        <w:t xml:space="preserve">条 </w:t>
      </w:r>
      <w:r>
        <w:rPr>
          <w:rFonts w:hint="eastAsia"/>
        </w:rPr>
        <w:t xml:space="preserve"> </w:t>
      </w:r>
      <w:r>
        <w:rPr>
          <w:rFonts w:hint="eastAsia" w:ascii="仿宋_GB2312" w:eastAsia="仿宋_GB2312"/>
          <w:sz w:val="32"/>
          <w:szCs w:val="32"/>
        </w:rPr>
        <w:t>在子基金的存续期内，按子基金规模大小具体情况，当实收资本或基金实际到位资金在2亿元（含2亿元）以下时，每年可按照2亿元的2%支付给子基金管理机构作为年度管理费。当实收资本超过2亿元以后，以实收资本或基金实际到位资金总额扣除已退出项目所对应本金之余额作为基数，每年按2%支付给子基金管理机构作为年度管理费。具体管理费标准可由各子基金与子基金管理机构协商确定，但不得高于前述收费标准。</w:t>
      </w:r>
    </w:p>
    <w:p>
      <w:pPr>
        <w:keepNext w:val="0"/>
        <w:keepLines w:val="0"/>
        <w:pageBreakBefore w:val="0"/>
        <w:kinsoku/>
        <w:wordWrap/>
        <w:overflowPunct/>
        <w:autoSpaceDE/>
        <w:autoSpaceDN/>
        <w:bidi w:val="0"/>
        <w:adjustRightInd w:val="0"/>
        <w:snapToGrid w:val="0"/>
        <w:spacing w:line="540" w:lineRule="exact"/>
        <w:ind w:right="0" w:rightChars="0" w:firstLine="548" w:firstLineChars="196"/>
        <w:textAlignment w:val="auto"/>
        <w:rPr>
          <w:rFonts w:ascii="仿宋_GB2312" w:eastAsia="仿宋_GB2312"/>
          <w:sz w:val="32"/>
          <w:szCs w:val="32"/>
        </w:rPr>
      </w:pPr>
      <w:r>
        <w:rPr>
          <w:rFonts w:hint="eastAsia" w:ascii="楷体" w:hAnsi="楷体" w:eastAsia="楷体" w:cs="楷体"/>
          <w:sz w:val="28"/>
          <w:szCs w:val="28"/>
        </w:rPr>
        <w:t>【编制说明】对支付子基金管理机构管理费的要求，参考《佛山市人民政府办公室关于印发佛山市本级政府投资基金管理实施办法的通知》（佛府办函〔2018〕996号）。</w:t>
      </w:r>
    </w:p>
    <w:p>
      <w:pPr>
        <w:keepNext w:val="0"/>
        <w:keepLines w:val="0"/>
        <w:pageBreakBefore w:val="0"/>
        <w:kinsoku/>
        <w:wordWrap/>
        <w:overflowPunct/>
        <w:autoSpaceDE/>
        <w:autoSpaceDN/>
        <w:bidi w:val="0"/>
        <w:adjustRightInd w:val="0"/>
        <w:snapToGrid w:val="0"/>
        <w:spacing w:line="540" w:lineRule="exact"/>
        <w:ind w:right="0" w:rightChars="0" w:firstLine="630" w:firstLineChars="196"/>
        <w:textAlignment w:val="auto"/>
        <w:rPr>
          <w:rFonts w:ascii="仿宋_GB2312" w:eastAsia="仿宋_GB2312"/>
          <w:sz w:val="32"/>
          <w:szCs w:val="32"/>
        </w:rPr>
      </w:pPr>
      <w:r>
        <w:rPr>
          <w:rFonts w:hint="eastAsia" w:ascii="宋体" w:hAnsi="宋体"/>
          <w:b/>
          <w:bCs/>
          <w:sz w:val="32"/>
          <w:szCs w:val="32"/>
        </w:rPr>
        <w:t>第三十</w:t>
      </w:r>
      <w:r>
        <w:rPr>
          <w:rFonts w:hint="eastAsia" w:ascii="宋体" w:hAnsi="宋体"/>
          <w:b/>
          <w:bCs/>
          <w:sz w:val="32"/>
          <w:szCs w:val="32"/>
          <w:lang w:eastAsia="zh-CN"/>
        </w:rPr>
        <w:t>七</w:t>
      </w:r>
      <w:r>
        <w:rPr>
          <w:rFonts w:hint="eastAsia" w:ascii="宋体" w:hAnsi="宋体"/>
          <w:b/>
          <w:bCs/>
          <w:sz w:val="32"/>
          <w:szCs w:val="32"/>
        </w:rPr>
        <w:t>条</w:t>
      </w: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对母基金管理公司，根据投资的最终业绩实施绩效奖励。绩效奖励采取“先回本后分利”的原则，在母基金所投资的子基金或直投项目进行清算后，对于收回本金的增值收益，按2</w:t>
      </w:r>
      <w:r>
        <w:rPr>
          <w:rFonts w:ascii="仿宋_GB2312" w:eastAsia="仿宋_GB2312"/>
          <w:sz w:val="32"/>
          <w:szCs w:val="32"/>
        </w:rPr>
        <w:t>0</w:t>
      </w:r>
      <w:r>
        <w:rPr>
          <w:rFonts w:hint="eastAsia" w:ascii="仿宋_GB2312" w:eastAsia="仿宋_GB2312"/>
          <w:sz w:val="32"/>
          <w:szCs w:val="32"/>
        </w:rPr>
        <w:t>%的比例奖励给母基金管理公司。具体支付方式由基金受托管理机构与母基金管理公司在委托协议中约定。</w:t>
      </w:r>
    </w:p>
    <w:p>
      <w:pPr>
        <w:keepNext w:val="0"/>
        <w:keepLines w:val="0"/>
        <w:pageBreakBefore w:val="0"/>
        <w:kinsoku/>
        <w:wordWrap/>
        <w:overflowPunct/>
        <w:autoSpaceDE/>
        <w:autoSpaceDN/>
        <w:bidi w:val="0"/>
        <w:adjustRightInd w:val="0"/>
        <w:snapToGrid w:val="0"/>
        <w:spacing w:line="540" w:lineRule="exact"/>
        <w:ind w:right="0" w:rightChars="0" w:firstLine="548" w:firstLineChars="196"/>
        <w:textAlignment w:val="auto"/>
        <w:rPr>
          <w:rFonts w:ascii="仿宋_GB2312" w:eastAsia="仿宋_GB2312"/>
          <w:sz w:val="32"/>
          <w:szCs w:val="32"/>
        </w:rPr>
      </w:pPr>
      <w:r>
        <w:rPr>
          <w:rFonts w:hint="eastAsia" w:ascii="楷体" w:hAnsi="楷体" w:eastAsia="楷体" w:cs="楷体"/>
          <w:sz w:val="28"/>
          <w:szCs w:val="28"/>
        </w:rPr>
        <w:t>【编制说明】对政府投资基金管理公司的业绩激励要求，参考《佛山市人民政府办公室关于印发佛山市本级政府投资基金管理实施办法的通知》（佛府办函〔2018〕996号）。</w:t>
      </w:r>
    </w:p>
    <w:p>
      <w:pPr>
        <w:keepNext w:val="0"/>
        <w:keepLines w:val="0"/>
        <w:pageBreakBefore w:val="0"/>
        <w:kinsoku/>
        <w:wordWrap/>
        <w:overflowPunct/>
        <w:autoSpaceDE/>
        <w:autoSpaceDN/>
        <w:bidi w:val="0"/>
        <w:adjustRightInd w:val="0"/>
        <w:snapToGrid w:val="0"/>
        <w:spacing w:line="540" w:lineRule="exact"/>
        <w:ind w:right="0" w:rightChars="0" w:firstLine="630" w:firstLineChars="196"/>
        <w:textAlignment w:val="auto"/>
        <w:rPr>
          <w:rFonts w:ascii="仿宋_GB2312" w:eastAsia="仿宋_GB2312"/>
          <w:sz w:val="32"/>
          <w:szCs w:val="32"/>
        </w:rPr>
      </w:pPr>
      <w:r>
        <w:rPr>
          <w:rFonts w:hint="eastAsia" w:ascii="宋体" w:hAnsi="宋体"/>
          <w:b/>
          <w:bCs/>
          <w:sz w:val="32"/>
          <w:szCs w:val="32"/>
        </w:rPr>
        <w:t>第三十</w:t>
      </w:r>
      <w:r>
        <w:rPr>
          <w:rFonts w:hint="eastAsia" w:ascii="宋体" w:hAnsi="宋体"/>
          <w:b/>
          <w:bCs/>
          <w:sz w:val="32"/>
          <w:szCs w:val="32"/>
          <w:lang w:eastAsia="zh-CN"/>
        </w:rPr>
        <w:t>八</w:t>
      </w:r>
      <w:r>
        <w:rPr>
          <w:rFonts w:hint="eastAsia" w:ascii="宋体" w:hAnsi="宋体"/>
          <w:b/>
          <w:bCs/>
          <w:sz w:val="32"/>
          <w:szCs w:val="32"/>
        </w:rPr>
        <w:t>条</w:t>
      </w: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引导基金母基金收回的投资本金和增值收益，经市基金办同意可用于再投资。</w:t>
      </w:r>
    </w:p>
    <w:p>
      <w:pPr>
        <w:keepNext w:val="0"/>
        <w:keepLines w:val="0"/>
        <w:pageBreakBefore w:val="0"/>
        <w:kinsoku/>
        <w:wordWrap/>
        <w:overflowPunct/>
        <w:autoSpaceDE/>
        <w:autoSpaceDN/>
        <w:bidi w:val="0"/>
        <w:adjustRightInd w:val="0"/>
        <w:snapToGrid w:val="0"/>
        <w:spacing w:line="540" w:lineRule="exact"/>
        <w:ind w:right="0" w:rightChars="0" w:firstLine="548" w:firstLineChars="196"/>
        <w:textAlignment w:val="auto"/>
        <w:rPr>
          <w:rFonts w:ascii="仿宋_GB2312" w:eastAsia="仿宋_GB2312"/>
          <w:sz w:val="32"/>
          <w:szCs w:val="32"/>
        </w:rPr>
      </w:pPr>
      <w:r>
        <w:rPr>
          <w:rFonts w:hint="eastAsia" w:ascii="楷体" w:hAnsi="楷体" w:eastAsia="楷体" w:cs="楷体"/>
          <w:sz w:val="28"/>
          <w:szCs w:val="28"/>
        </w:rPr>
        <w:t>【编制说明】对政府投资基金收益用途的要求。</w:t>
      </w:r>
    </w:p>
    <w:p>
      <w:pPr>
        <w:keepNext w:val="0"/>
        <w:keepLines w:val="0"/>
        <w:pageBreakBefore w:val="0"/>
        <w:kinsoku/>
        <w:wordWrap/>
        <w:overflowPunct/>
        <w:autoSpaceDE/>
        <w:autoSpaceDN/>
        <w:bidi w:val="0"/>
        <w:adjustRightInd w:val="0"/>
        <w:snapToGrid w:val="0"/>
        <w:spacing w:line="540" w:lineRule="exact"/>
        <w:ind w:right="0" w:rightChars="0" w:firstLine="630" w:firstLineChars="196"/>
        <w:textAlignment w:val="auto"/>
        <w:rPr>
          <w:rFonts w:ascii="仿宋_GB2312" w:eastAsia="仿宋_GB2312"/>
          <w:sz w:val="32"/>
          <w:szCs w:val="32"/>
        </w:rPr>
      </w:pPr>
      <w:r>
        <w:rPr>
          <w:rFonts w:hint="eastAsia" w:ascii="仿宋_GB2312" w:eastAsia="仿宋_GB2312"/>
          <w:b/>
          <w:bCs/>
          <w:sz w:val="32"/>
          <w:szCs w:val="32"/>
        </w:rPr>
        <w:t>第三十</w:t>
      </w:r>
      <w:r>
        <w:rPr>
          <w:rFonts w:hint="eastAsia" w:ascii="仿宋_GB2312" w:eastAsia="仿宋_GB2312"/>
          <w:b/>
          <w:bCs/>
          <w:sz w:val="32"/>
          <w:szCs w:val="32"/>
          <w:lang w:eastAsia="zh-CN"/>
        </w:rPr>
        <w:t>九</w:t>
      </w:r>
      <w:r>
        <w:rPr>
          <w:rFonts w:hint="eastAsia" w:ascii="仿宋_GB2312" w:eastAsia="仿宋_GB2312"/>
          <w:b/>
          <w:bCs/>
          <w:sz w:val="32"/>
          <w:szCs w:val="32"/>
        </w:rPr>
        <w:t>条</w:t>
      </w: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对于子基金管理公司的绩效奖励，参照对母基金的绩效奖励方式。具体由母基金管理公司与子基金管理公司根据市场规则协商确定。</w:t>
      </w:r>
    </w:p>
    <w:p>
      <w:pPr>
        <w:keepNext w:val="0"/>
        <w:keepLines w:val="0"/>
        <w:pageBreakBefore w:val="0"/>
        <w:kinsoku/>
        <w:wordWrap/>
        <w:overflowPunct/>
        <w:autoSpaceDE/>
        <w:autoSpaceDN/>
        <w:bidi w:val="0"/>
        <w:adjustRightInd w:val="0"/>
        <w:snapToGrid w:val="0"/>
        <w:spacing w:line="540" w:lineRule="exact"/>
        <w:ind w:right="0" w:rightChars="0" w:firstLine="548" w:firstLineChars="196"/>
        <w:textAlignment w:val="auto"/>
        <w:rPr>
          <w:rFonts w:ascii="仿宋_GB2312" w:eastAsia="仿宋_GB2312"/>
          <w:sz w:val="32"/>
          <w:szCs w:val="32"/>
        </w:rPr>
      </w:pPr>
      <w:r>
        <w:rPr>
          <w:rFonts w:hint="eastAsia" w:ascii="楷体" w:hAnsi="楷体" w:eastAsia="楷体" w:cs="楷体"/>
          <w:sz w:val="28"/>
          <w:szCs w:val="28"/>
        </w:rPr>
        <w:t>【编制说明】对子基金管理公司绩效奖励的要求，参考《佛山市人民政府办公室关于印发佛山市本级政府投资基金管理实施办法的通知》（佛府办函〔2018〕996号）。</w:t>
      </w:r>
    </w:p>
    <w:p>
      <w:pPr>
        <w:keepNext w:val="0"/>
        <w:keepLines w:val="0"/>
        <w:pageBreakBefore w:val="0"/>
        <w:kinsoku/>
        <w:wordWrap/>
        <w:overflowPunct/>
        <w:autoSpaceDE/>
        <w:autoSpaceDN/>
        <w:bidi w:val="0"/>
        <w:adjustRightInd w:val="0"/>
        <w:snapToGrid w:val="0"/>
        <w:spacing w:line="540" w:lineRule="exact"/>
        <w:ind w:right="0" w:rightChars="0"/>
        <w:jc w:val="center"/>
        <w:textAlignment w:val="auto"/>
        <w:rPr>
          <w:rFonts w:ascii="黑体" w:hAnsi="宋体" w:eastAsia="黑体"/>
          <w:b/>
          <w:sz w:val="32"/>
          <w:szCs w:val="32"/>
        </w:rPr>
      </w:pPr>
    </w:p>
    <w:p>
      <w:pPr>
        <w:keepNext w:val="0"/>
        <w:keepLines w:val="0"/>
        <w:pageBreakBefore w:val="0"/>
        <w:kinsoku/>
        <w:wordWrap/>
        <w:overflowPunct/>
        <w:autoSpaceDE/>
        <w:autoSpaceDN/>
        <w:bidi w:val="0"/>
        <w:adjustRightInd w:val="0"/>
        <w:snapToGrid w:val="0"/>
        <w:spacing w:line="540" w:lineRule="exact"/>
        <w:ind w:right="0" w:rightChars="0"/>
        <w:jc w:val="center"/>
        <w:textAlignment w:val="auto"/>
        <w:outlineLvl w:val="0"/>
        <w:rPr>
          <w:rFonts w:ascii="黑体" w:hAnsi="宋体" w:eastAsia="黑体"/>
          <w:b/>
          <w:sz w:val="32"/>
          <w:szCs w:val="32"/>
        </w:rPr>
      </w:pPr>
      <w:r>
        <w:rPr>
          <w:rFonts w:hint="eastAsia" w:ascii="黑体" w:hAnsi="宋体" w:eastAsia="黑体"/>
          <w:b/>
          <w:sz w:val="32"/>
          <w:szCs w:val="32"/>
        </w:rPr>
        <w:t>第八章 督察检查及绩效考核</w:t>
      </w:r>
    </w:p>
    <w:p>
      <w:pPr>
        <w:keepNext w:val="0"/>
        <w:keepLines w:val="0"/>
        <w:pageBreakBefore w:val="0"/>
        <w:kinsoku/>
        <w:wordWrap/>
        <w:overflowPunct/>
        <w:autoSpaceDE/>
        <w:autoSpaceDN/>
        <w:bidi w:val="0"/>
        <w:spacing w:line="540" w:lineRule="exact"/>
        <w:ind w:right="0" w:rightChars="0" w:firstLine="643" w:firstLineChars="200"/>
        <w:textAlignment w:val="auto"/>
        <w:rPr>
          <w:rFonts w:ascii="仿宋_GB2312" w:eastAsia="仿宋_GB2312"/>
          <w:sz w:val="32"/>
          <w:szCs w:val="32"/>
        </w:rPr>
      </w:pPr>
      <w:r>
        <w:rPr>
          <w:rFonts w:hint="eastAsia" w:ascii="宋体" w:hAnsi="宋体"/>
          <w:b/>
          <w:sz w:val="32"/>
          <w:szCs w:val="32"/>
        </w:rPr>
        <w:t>第</w:t>
      </w:r>
      <w:r>
        <w:rPr>
          <w:rFonts w:hint="eastAsia" w:ascii="宋体" w:hAnsi="宋体"/>
          <w:b/>
          <w:sz w:val="32"/>
          <w:szCs w:val="32"/>
          <w:lang w:eastAsia="zh-CN"/>
        </w:rPr>
        <w:t>四</w:t>
      </w:r>
      <w:r>
        <w:rPr>
          <w:rFonts w:hint="eastAsia" w:ascii="宋体" w:hAnsi="宋体"/>
          <w:b/>
          <w:sz w:val="32"/>
          <w:szCs w:val="32"/>
        </w:rPr>
        <w:t>十条</w:t>
      </w:r>
      <w:r>
        <w:rPr>
          <w:rFonts w:hint="eastAsia"/>
        </w:rPr>
        <w:t xml:space="preserve">  </w:t>
      </w:r>
      <w:r>
        <w:rPr>
          <w:rFonts w:hint="eastAsia" w:ascii="仿宋_GB2312" w:eastAsia="仿宋_GB2312"/>
          <w:sz w:val="32"/>
          <w:szCs w:val="32"/>
        </w:rPr>
        <w:t>子基金管理机构应在每个季度终了30日内向引导基金管理公司报送上一季度的投资运作报告和财务会计报表，在每个年度终了4个月内报送上一年度的投资运作报告和审计报告。</w:t>
      </w:r>
    </w:p>
    <w:p>
      <w:pPr>
        <w:keepNext w:val="0"/>
        <w:keepLines w:val="0"/>
        <w:pageBreakBefore w:val="0"/>
        <w:kinsoku/>
        <w:wordWrap/>
        <w:overflowPunct/>
        <w:autoSpaceDE/>
        <w:autoSpaceDN/>
        <w:bidi w:val="0"/>
        <w:adjustRightInd w:val="0"/>
        <w:snapToGrid w:val="0"/>
        <w:spacing w:line="540" w:lineRule="exact"/>
        <w:ind w:right="0" w:rightChars="0" w:firstLine="548" w:firstLineChars="196"/>
        <w:textAlignment w:val="auto"/>
        <w:rPr>
          <w:rFonts w:ascii="仿宋_GB2312" w:eastAsia="仿宋_GB2312"/>
          <w:sz w:val="32"/>
          <w:szCs w:val="32"/>
        </w:rPr>
      </w:pPr>
      <w:r>
        <w:rPr>
          <w:rFonts w:hint="eastAsia" w:ascii="楷体" w:hAnsi="楷体" w:eastAsia="楷体" w:cs="楷体"/>
          <w:sz w:val="28"/>
          <w:szCs w:val="28"/>
        </w:rPr>
        <w:t>【编制说明】对子基金管理机构定期管理报告的要求，参考《佛山市人民政府办公室关于印发佛山市本级政府投资基金管理实施办法的通知》（佛府办函〔2018〕996号）。</w:t>
      </w:r>
    </w:p>
    <w:p>
      <w:pPr>
        <w:keepNext w:val="0"/>
        <w:keepLines w:val="0"/>
        <w:pageBreakBefore w:val="0"/>
        <w:kinsoku/>
        <w:wordWrap/>
        <w:overflowPunct/>
        <w:autoSpaceDE/>
        <w:autoSpaceDN/>
        <w:bidi w:val="0"/>
        <w:adjustRightInd w:val="0"/>
        <w:snapToGrid w:val="0"/>
        <w:spacing w:line="540" w:lineRule="exact"/>
        <w:ind w:right="0" w:rightChars="0" w:firstLine="630" w:firstLineChars="196"/>
        <w:textAlignment w:val="auto"/>
        <w:rPr>
          <w:rFonts w:ascii="仿宋_GB2312" w:eastAsia="仿宋_GB2312"/>
          <w:sz w:val="32"/>
          <w:szCs w:val="32"/>
        </w:rPr>
      </w:pPr>
      <w:r>
        <w:rPr>
          <w:rFonts w:hint="eastAsia" w:ascii="宋体" w:hAnsi="宋体"/>
          <w:b/>
          <w:sz w:val="32"/>
          <w:szCs w:val="32"/>
        </w:rPr>
        <w:t>第四十</w:t>
      </w:r>
      <w:r>
        <w:rPr>
          <w:rFonts w:hint="eastAsia" w:ascii="宋体" w:hAnsi="宋体"/>
          <w:b/>
          <w:sz w:val="32"/>
          <w:szCs w:val="32"/>
          <w:lang w:eastAsia="zh-CN"/>
        </w:rPr>
        <w:t>一</w:t>
      </w:r>
      <w:r>
        <w:rPr>
          <w:rFonts w:hint="eastAsia" w:ascii="宋体" w:hAnsi="宋体"/>
          <w:b/>
          <w:sz w:val="32"/>
          <w:szCs w:val="32"/>
        </w:rPr>
        <w:t>条</w:t>
      </w:r>
      <w:r>
        <w:rPr>
          <w:rFonts w:hint="eastAsia"/>
        </w:rPr>
        <w:t xml:space="preserve">  </w:t>
      </w:r>
      <w:r>
        <w:rPr>
          <w:rFonts w:hint="eastAsia" w:ascii="仿宋_GB2312" w:eastAsia="仿宋_GB2312"/>
          <w:sz w:val="32"/>
          <w:szCs w:val="32"/>
        </w:rPr>
        <w:t>引导基金管理公司应在每半年度终了30日内向引导基金受托管理机构报送引导基金投资情况、参股子基金及跟进投资企业运作情况和相应的财务文件；每个年度终了4个月内报送上一年度投资运作报告及审计报告。</w:t>
      </w:r>
    </w:p>
    <w:p>
      <w:pPr>
        <w:keepNext w:val="0"/>
        <w:keepLines w:val="0"/>
        <w:pageBreakBefore w:val="0"/>
        <w:kinsoku/>
        <w:wordWrap/>
        <w:overflowPunct/>
        <w:autoSpaceDE/>
        <w:autoSpaceDN/>
        <w:bidi w:val="0"/>
        <w:adjustRightInd w:val="0"/>
        <w:snapToGrid w:val="0"/>
        <w:spacing w:line="540" w:lineRule="exact"/>
        <w:ind w:right="0" w:rightChars="0" w:firstLine="548" w:firstLineChars="196"/>
        <w:textAlignment w:val="auto"/>
        <w:rPr>
          <w:rFonts w:ascii="仿宋_GB2312" w:eastAsia="仿宋_GB2312"/>
          <w:sz w:val="32"/>
          <w:szCs w:val="32"/>
        </w:rPr>
      </w:pPr>
      <w:r>
        <w:rPr>
          <w:rFonts w:hint="eastAsia" w:ascii="楷体" w:hAnsi="楷体" w:eastAsia="楷体" w:cs="楷体"/>
          <w:sz w:val="28"/>
          <w:szCs w:val="28"/>
        </w:rPr>
        <w:t>【编制说明】对基金管理公司定期管理报告的要求，参考《佛山市人民政府办公室关于印发佛山市本级政府投资基金管理实施办法的通知》（佛府办函〔2018〕996号）。</w:t>
      </w:r>
    </w:p>
    <w:p>
      <w:pPr>
        <w:keepNext w:val="0"/>
        <w:keepLines w:val="0"/>
        <w:pageBreakBefore w:val="0"/>
        <w:kinsoku/>
        <w:wordWrap/>
        <w:overflowPunct/>
        <w:autoSpaceDE/>
        <w:autoSpaceDN/>
        <w:bidi w:val="0"/>
        <w:adjustRightInd w:val="0"/>
        <w:snapToGrid w:val="0"/>
        <w:spacing w:line="540" w:lineRule="exact"/>
        <w:ind w:right="0" w:rightChars="0" w:firstLine="643" w:firstLineChars="200"/>
        <w:textAlignment w:val="auto"/>
        <w:rPr>
          <w:rFonts w:ascii="仿宋_GB2312" w:eastAsia="仿宋_GB2312"/>
          <w:sz w:val="32"/>
          <w:szCs w:val="32"/>
        </w:rPr>
      </w:pPr>
      <w:r>
        <w:rPr>
          <w:rFonts w:hint="eastAsia" w:ascii="宋体" w:hAnsi="宋体"/>
          <w:b/>
          <w:sz w:val="32"/>
          <w:szCs w:val="32"/>
        </w:rPr>
        <w:t>第四十</w:t>
      </w:r>
      <w:r>
        <w:rPr>
          <w:rFonts w:hint="eastAsia" w:ascii="宋体" w:hAnsi="宋体"/>
          <w:b/>
          <w:sz w:val="32"/>
          <w:szCs w:val="32"/>
          <w:lang w:eastAsia="zh-CN"/>
        </w:rPr>
        <w:t>二</w:t>
      </w:r>
      <w:r>
        <w:rPr>
          <w:rFonts w:hint="eastAsia" w:ascii="宋体" w:hAnsi="宋体"/>
          <w:b/>
          <w:sz w:val="32"/>
          <w:szCs w:val="32"/>
        </w:rPr>
        <w:t>条</w:t>
      </w: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引导基金受托管理机构按年度对基金组建情况、政策目标实现程度、投资运营情况等开展绩效自评，并向市基金办报告。</w:t>
      </w:r>
    </w:p>
    <w:p>
      <w:pPr>
        <w:keepNext w:val="0"/>
        <w:keepLines w:val="0"/>
        <w:pageBreakBefore w:val="0"/>
        <w:kinsoku/>
        <w:wordWrap/>
        <w:overflowPunct/>
        <w:autoSpaceDE/>
        <w:autoSpaceDN/>
        <w:bidi w:val="0"/>
        <w:adjustRightInd w:val="0"/>
        <w:snapToGrid w:val="0"/>
        <w:spacing w:line="540" w:lineRule="exact"/>
        <w:ind w:right="0" w:rightChars="0" w:firstLine="548" w:firstLineChars="196"/>
        <w:textAlignment w:val="auto"/>
        <w:rPr>
          <w:rFonts w:ascii="仿宋_GB2312" w:eastAsia="仿宋_GB2312"/>
          <w:sz w:val="32"/>
          <w:szCs w:val="32"/>
        </w:rPr>
      </w:pPr>
      <w:r>
        <w:rPr>
          <w:rFonts w:hint="eastAsia" w:ascii="楷体" w:hAnsi="楷体" w:eastAsia="楷体" w:cs="楷体"/>
          <w:sz w:val="28"/>
          <w:szCs w:val="28"/>
        </w:rPr>
        <w:t>【编制说明】对受托管理机构开展政府投资基金自查自评的要求，参考《佛山市人民政府办公室关于印发佛山市本级政府投资基金管理实施办法的通知》（佛府办函〔2018〕996号）。</w:t>
      </w:r>
    </w:p>
    <w:p>
      <w:pPr>
        <w:keepNext w:val="0"/>
        <w:keepLines w:val="0"/>
        <w:pageBreakBefore w:val="0"/>
        <w:kinsoku/>
        <w:wordWrap/>
        <w:overflowPunct/>
        <w:autoSpaceDE/>
        <w:autoSpaceDN/>
        <w:bidi w:val="0"/>
        <w:adjustRightInd w:val="0"/>
        <w:snapToGrid w:val="0"/>
        <w:spacing w:line="540" w:lineRule="exact"/>
        <w:ind w:right="0" w:rightChars="0" w:firstLine="643" w:firstLineChars="200"/>
        <w:textAlignment w:val="auto"/>
        <w:rPr>
          <w:rFonts w:ascii="仿宋_GB2312" w:eastAsia="仿宋_GB2312"/>
          <w:sz w:val="32"/>
          <w:szCs w:val="32"/>
        </w:rPr>
      </w:pPr>
      <w:r>
        <w:rPr>
          <w:rFonts w:hint="eastAsia" w:ascii="宋体" w:hAnsi="宋体"/>
          <w:b/>
          <w:sz w:val="32"/>
          <w:szCs w:val="32"/>
        </w:rPr>
        <w:t>第四十</w:t>
      </w:r>
      <w:r>
        <w:rPr>
          <w:rFonts w:hint="eastAsia" w:ascii="宋体" w:hAnsi="宋体"/>
          <w:b/>
          <w:sz w:val="32"/>
          <w:szCs w:val="32"/>
          <w:lang w:eastAsia="zh-CN"/>
        </w:rPr>
        <w:t>三</w:t>
      </w:r>
      <w:r>
        <w:rPr>
          <w:rFonts w:hint="eastAsia" w:ascii="宋体" w:hAnsi="宋体"/>
          <w:b/>
          <w:sz w:val="32"/>
          <w:szCs w:val="32"/>
        </w:rPr>
        <w:t>条</w:t>
      </w: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市基金办负责对引导基金受托管理机构履行职责情况和引导基金投资形成的资产进行日常监督，并在每年度委托社会中介机构对引导基金母基金运作情况进行审计。</w:t>
      </w:r>
    </w:p>
    <w:p>
      <w:pPr>
        <w:keepNext w:val="0"/>
        <w:keepLines w:val="0"/>
        <w:pageBreakBefore w:val="0"/>
        <w:kinsoku/>
        <w:wordWrap/>
        <w:overflowPunct/>
        <w:autoSpaceDE/>
        <w:autoSpaceDN/>
        <w:bidi w:val="0"/>
        <w:adjustRightInd w:val="0"/>
        <w:snapToGrid w:val="0"/>
        <w:spacing w:line="540" w:lineRule="exact"/>
        <w:ind w:right="0" w:rightChars="0" w:firstLine="548" w:firstLineChars="196"/>
        <w:textAlignment w:val="auto"/>
        <w:rPr>
          <w:rFonts w:ascii="仿宋_GB2312" w:eastAsia="仿宋_GB2312"/>
          <w:sz w:val="32"/>
          <w:szCs w:val="32"/>
        </w:rPr>
      </w:pPr>
      <w:r>
        <w:rPr>
          <w:rFonts w:hint="eastAsia" w:ascii="楷体" w:hAnsi="楷体" w:eastAsia="楷体" w:cs="楷体"/>
          <w:sz w:val="28"/>
          <w:szCs w:val="28"/>
        </w:rPr>
        <w:t>【编制说明】市基金办对政府投资基金的监督管理职责，参考《佛山市人民政府办公室关于印发佛山市本级政府投资基金管理实施办法的通知》（佛府办函〔2018〕996号）。</w:t>
      </w:r>
    </w:p>
    <w:p>
      <w:pPr>
        <w:keepNext w:val="0"/>
        <w:keepLines w:val="0"/>
        <w:pageBreakBefore w:val="0"/>
        <w:kinsoku/>
        <w:wordWrap/>
        <w:overflowPunct/>
        <w:autoSpaceDE/>
        <w:autoSpaceDN/>
        <w:bidi w:val="0"/>
        <w:adjustRightInd w:val="0"/>
        <w:snapToGrid w:val="0"/>
        <w:spacing w:line="540" w:lineRule="exact"/>
        <w:ind w:right="0" w:rightChars="0" w:firstLine="643" w:firstLineChars="200"/>
        <w:textAlignment w:val="auto"/>
        <w:rPr>
          <w:rFonts w:ascii="仿宋_GB2312" w:eastAsia="仿宋_GB2312"/>
          <w:sz w:val="32"/>
          <w:szCs w:val="32"/>
        </w:rPr>
      </w:pPr>
      <w:r>
        <w:rPr>
          <w:rFonts w:hint="eastAsia" w:ascii="宋体" w:hAnsi="宋体"/>
          <w:b/>
          <w:sz w:val="32"/>
          <w:szCs w:val="32"/>
        </w:rPr>
        <w:t>第四十</w:t>
      </w:r>
      <w:r>
        <w:rPr>
          <w:rFonts w:hint="eastAsia" w:ascii="宋体" w:hAnsi="宋体"/>
          <w:b/>
          <w:sz w:val="32"/>
          <w:szCs w:val="32"/>
          <w:lang w:eastAsia="zh-CN"/>
        </w:rPr>
        <w:t>四</w:t>
      </w:r>
      <w:r>
        <w:rPr>
          <w:rFonts w:hint="eastAsia" w:ascii="宋体" w:hAnsi="宋体"/>
          <w:b/>
          <w:sz w:val="32"/>
          <w:szCs w:val="32"/>
        </w:rPr>
        <w:t>条</w:t>
      </w: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引导基金受托管理机构应当与基金管理公司、基金托管银行签订明确的权利义务合约，合约应明确：</w:t>
      </w:r>
    </w:p>
    <w:p>
      <w:pPr>
        <w:keepNext w:val="0"/>
        <w:keepLines w:val="0"/>
        <w:pageBreakBefore w:val="0"/>
        <w:kinsoku/>
        <w:wordWrap/>
        <w:overflowPunct/>
        <w:autoSpaceDE/>
        <w:autoSpaceDN/>
        <w:bidi w:val="0"/>
        <w:adjustRightInd w:val="0"/>
        <w:snapToGrid w:val="0"/>
        <w:spacing w:line="540" w:lineRule="exact"/>
        <w:ind w:right="0" w:rightChars="0" w:firstLine="640"/>
        <w:textAlignment w:val="auto"/>
        <w:rPr>
          <w:rFonts w:ascii="仿宋_GB2312" w:eastAsia="仿宋_GB2312"/>
          <w:sz w:val="32"/>
          <w:szCs w:val="32"/>
        </w:rPr>
      </w:pPr>
      <w:r>
        <w:rPr>
          <w:rFonts w:hint="eastAsia" w:ascii="仿宋_GB2312" w:eastAsia="仿宋_GB2312"/>
          <w:sz w:val="32"/>
          <w:szCs w:val="32"/>
        </w:rPr>
        <w:t>（一）因基金管理公司原因导致资金募集和项目投资状况不理想、未达到计划预期，或是未按基金支持方向进行投资、未定期报告投资情况、不配合监督检查的，政府投资基金受托管理机构应督促母基金管理公司限期整改或通报批评。经两次督促仍未整改到位或具有其他严重情节的，政府投资基金受托管理机构可采取延迟支付管理费用、降低管理费率、取消业绩奖励、中止管理业务等措施。发现基金管理公司存在违法违规行为的，取消其管理政府投资基金的资格，3年内不得承接佛山市本级政府投资基金管理业务。</w:t>
      </w:r>
    </w:p>
    <w:p>
      <w:pPr>
        <w:keepNext w:val="0"/>
        <w:keepLines w:val="0"/>
        <w:pageBreakBefore w:val="0"/>
        <w:kinsoku/>
        <w:wordWrap/>
        <w:overflowPunct/>
        <w:autoSpaceDE/>
        <w:autoSpaceDN/>
        <w:bidi w:val="0"/>
        <w:spacing w:line="540" w:lineRule="exact"/>
        <w:ind w:right="0" w:rightChars="0" w:firstLine="640" w:firstLineChars="200"/>
        <w:textAlignment w:val="auto"/>
        <w:rPr>
          <w:rFonts w:ascii="仿宋_GB2312" w:eastAsia="仿宋_GB2312"/>
          <w:sz w:val="32"/>
          <w:szCs w:val="32"/>
        </w:rPr>
      </w:pPr>
      <w:r>
        <w:rPr>
          <w:rFonts w:hint="eastAsia" w:ascii="仿宋_GB2312" w:eastAsia="仿宋_GB2312"/>
          <w:sz w:val="32"/>
          <w:szCs w:val="32"/>
        </w:rPr>
        <w:t>（二）基金托管银行未及时拨付资金、未按托管协议履行好相关职责的，各方投资人有权降低或取消托管费，托管过程中发现违法违规行为的，取消该银行基金托管资格，并依法追究其法律责任。</w:t>
      </w:r>
    </w:p>
    <w:p>
      <w:pPr>
        <w:keepNext w:val="0"/>
        <w:keepLines w:val="0"/>
        <w:pageBreakBefore w:val="0"/>
        <w:kinsoku/>
        <w:wordWrap/>
        <w:overflowPunct/>
        <w:autoSpaceDE/>
        <w:autoSpaceDN/>
        <w:bidi w:val="0"/>
        <w:adjustRightInd w:val="0"/>
        <w:snapToGrid w:val="0"/>
        <w:spacing w:line="540" w:lineRule="exact"/>
        <w:ind w:right="0" w:rightChars="0" w:firstLine="548" w:firstLineChars="196"/>
        <w:textAlignment w:val="auto"/>
        <w:rPr>
          <w:rFonts w:ascii="仿宋_GB2312" w:eastAsia="仿宋_GB2312"/>
          <w:sz w:val="32"/>
          <w:szCs w:val="32"/>
        </w:rPr>
      </w:pPr>
      <w:r>
        <w:rPr>
          <w:rFonts w:hint="eastAsia" w:ascii="楷体" w:hAnsi="楷体" w:eastAsia="楷体" w:cs="楷体"/>
          <w:sz w:val="28"/>
          <w:szCs w:val="28"/>
        </w:rPr>
        <w:t>【编制说明】对基金管理公司、基金托管银行绩效考核要求，参考《佛山市人民政府办公室关于印发佛山市本级政府投资基金管理实施办法的通知》（佛府办函〔2018〕996号）。</w:t>
      </w:r>
    </w:p>
    <w:p>
      <w:pPr>
        <w:keepNext w:val="0"/>
        <w:keepLines w:val="0"/>
        <w:pageBreakBefore w:val="0"/>
        <w:kinsoku/>
        <w:wordWrap/>
        <w:overflowPunct/>
        <w:autoSpaceDE/>
        <w:autoSpaceDN/>
        <w:bidi w:val="0"/>
        <w:adjustRightInd w:val="0"/>
        <w:snapToGrid w:val="0"/>
        <w:spacing w:line="540" w:lineRule="exact"/>
        <w:ind w:right="0" w:rightChars="0" w:firstLine="640"/>
        <w:textAlignment w:val="auto"/>
        <w:rPr>
          <w:rFonts w:ascii="仿宋_GB2312" w:eastAsia="仿宋_GB2312"/>
          <w:sz w:val="32"/>
          <w:szCs w:val="32"/>
        </w:rPr>
      </w:pPr>
      <w:r>
        <w:rPr>
          <w:rFonts w:hint="eastAsia" w:ascii="宋体" w:hAnsi="宋体"/>
          <w:b/>
          <w:sz w:val="32"/>
          <w:szCs w:val="32"/>
        </w:rPr>
        <w:t>第四十</w:t>
      </w:r>
      <w:r>
        <w:rPr>
          <w:rFonts w:hint="eastAsia" w:ascii="宋体" w:hAnsi="宋体"/>
          <w:b/>
          <w:sz w:val="32"/>
          <w:szCs w:val="32"/>
          <w:lang w:eastAsia="zh-CN"/>
        </w:rPr>
        <w:t>五</w:t>
      </w:r>
      <w:r>
        <w:rPr>
          <w:rFonts w:hint="eastAsia" w:ascii="宋体" w:hAnsi="宋体"/>
          <w:b/>
          <w:sz w:val="32"/>
          <w:szCs w:val="32"/>
        </w:rPr>
        <w:t>条</w:t>
      </w: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引导基金运行中的临时突发情况，引导基金受托管理机构应当及时向基金办报告，主要包括：</w:t>
      </w:r>
    </w:p>
    <w:p>
      <w:pPr>
        <w:keepNext w:val="0"/>
        <w:keepLines w:val="0"/>
        <w:pageBreakBefore w:val="0"/>
        <w:kinsoku/>
        <w:wordWrap/>
        <w:overflowPunct/>
        <w:autoSpaceDE/>
        <w:autoSpaceDN/>
        <w:bidi w:val="0"/>
        <w:adjustRightInd w:val="0"/>
        <w:snapToGrid w:val="0"/>
        <w:spacing w:line="540" w:lineRule="exact"/>
        <w:ind w:right="0" w:rightChars="0" w:firstLine="640"/>
        <w:textAlignment w:val="auto"/>
        <w:rPr>
          <w:rFonts w:ascii="仿宋_GB2312" w:eastAsia="仿宋_GB2312"/>
          <w:sz w:val="32"/>
          <w:szCs w:val="32"/>
        </w:rPr>
      </w:pPr>
      <w:r>
        <w:rPr>
          <w:rFonts w:hint="eastAsia" w:ascii="仿宋_GB2312" w:eastAsia="仿宋_GB2312"/>
          <w:sz w:val="32"/>
          <w:szCs w:val="32"/>
        </w:rPr>
        <w:t>（一）违反国家和省政策规定及投资基金章程约定投资；</w:t>
      </w:r>
    </w:p>
    <w:p>
      <w:pPr>
        <w:keepNext w:val="0"/>
        <w:keepLines w:val="0"/>
        <w:pageBreakBefore w:val="0"/>
        <w:kinsoku/>
        <w:wordWrap/>
        <w:overflowPunct/>
        <w:autoSpaceDE/>
        <w:autoSpaceDN/>
        <w:bidi w:val="0"/>
        <w:spacing w:line="540" w:lineRule="exact"/>
        <w:ind w:right="0" w:rightChars="0" w:firstLine="640" w:firstLineChars="200"/>
        <w:textAlignment w:val="auto"/>
        <w:rPr>
          <w:rFonts w:ascii="仿宋_GB2312" w:eastAsia="仿宋_GB2312"/>
          <w:sz w:val="32"/>
          <w:szCs w:val="32"/>
        </w:rPr>
      </w:pPr>
      <w:r>
        <w:rPr>
          <w:rFonts w:hint="eastAsia" w:ascii="仿宋_GB2312" w:eastAsia="仿宋_GB2312"/>
          <w:sz w:val="32"/>
          <w:szCs w:val="32"/>
        </w:rPr>
        <w:t>（二）基金所投项目建设运营过程中出现重大突发事件；</w:t>
      </w:r>
    </w:p>
    <w:p>
      <w:pPr>
        <w:keepNext w:val="0"/>
        <w:keepLines w:val="0"/>
        <w:pageBreakBefore w:val="0"/>
        <w:kinsoku/>
        <w:wordWrap/>
        <w:overflowPunct/>
        <w:autoSpaceDE/>
        <w:autoSpaceDN/>
        <w:bidi w:val="0"/>
        <w:spacing w:line="540" w:lineRule="exact"/>
        <w:ind w:right="0" w:rightChars="0" w:firstLine="640" w:firstLineChars="200"/>
        <w:textAlignment w:val="auto"/>
        <w:rPr>
          <w:rFonts w:ascii="仿宋_GB2312" w:eastAsia="仿宋_GB2312"/>
          <w:sz w:val="32"/>
          <w:szCs w:val="32"/>
        </w:rPr>
      </w:pPr>
      <w:r>
        <w:rPr>
          <w:rFonts w:hint="eastAsia" w:ascii="仿宋_GB2312" w:eastAsia="仿宋_GB2312"/>
          <w:sz w:val="32"/>
          <w:szCs w:val="32"/>
        </w:rPr>
        <w:t>（三）其他重大突发情况。</w:t>
      </w:r>
    </w:p>
    <w:p>
      <w:pPr>
        <w:keepNext w:val="0"/>
        <w:keepLines w:val="0"/>
        <w:pageBreakBefore w:val="0"/>
        <w:kinsoku/>
        <w:wordWrap/>
        <w:overflowPunct/>
        <w:autoSpaceDE/>
        <w:autoSpaceDN/>
        <w:bidi w:val="0"/>
        <w:adjustRightInd w:val="0"/>
        <w:snapToGrid w:val="0"/>
        <w:spacing w:line="540" w:lineRule="exact"/>
        <w:ind w:right="0" w:rightChars="0" w:firstLine="548" w:firstLineChars="196"/>
        <w:textAlignment w:val="auto"/>
        <w:rPr>
          <w:rFonts w:ascii="仿宋_GB2312" w:eastAsia="仿宋_GB2312"/>
          <w:sz w:val="32"/>
          <w:szCs w:val="32"/>
        </w:rPr>
      </w:pPr>
      <w:r>
        <w:rPr>
          <w:rFonts w:hint="eastAsia" w:ascii="楷体" w:hAnsi="楷体" w:eastAsia="楷体" w:cs="楷体"/>
          <w:sz w:val="28"/>
          <w:szCs w:val="28"/>
        </w:rPr>
        <w:t>【编制说明】对引导基金突发事项报告的要求，参考《佛山市人民政府办公室关于印发佛山市本级政府投资基金管理实施办法的通知》（佛府办函〔2018〕996号）。</w:t>
      </w:r>
    </w:p>
    <w:p>
      <w:pPr>
        <w:keepNext w:val="0"/>
        <w:keepLines w:val="0"/>
        <w:pageBreakBefore w:val="0"/>
        <w:kinsoku/>
        <w:wordWrap/>
        <w:overflowPunct/>
        <w:autoSpaceDE/>
        <w:autoSpaceDN/>
        <w:bidi w:val="0"/>
        <w:adjustRightInd w:val="0"/>
        <w:snapToGrid w:val="0"/>
        <w:spacing w:line="540" w:lineRule="exact"/>
        <w:ind w:right="0" w:rightChars="0" w:firstLine="640"/>
        <w:textAlignment w:val="auto"/>
        <w:rPr>
          <w:rFonts w:ascii="仿宋_GB2312" w:eastAsia="仿宋_GB2312"/>
          <w:sz w:val="32"/>
          <w:szCs w:val="32"/>
        </w:rPr>
      </w:pPr>
      <w:r>
        <w:rPr>
          <w:rFonts w:hint="eastAsia" w:ascii="宋体" w:hAnsi="宋体"/>
          <w:b/>
          <w:sz w:val="32"/>
          <w:szCs w:val="32"/>
        </w:rPr>
        <w:t>第四十</w:t>
      </w:r>
      <w:r>
        <w:rPr>
          <w:rFonts w:hint="eastAsia" w:ascii="宋体" w:hAnsi="宋体"/>
          <w:b/>
          <w:sz w:val="32"/>
          <w:szCs w:val="32"/>
          <w:lang w:eastAsia="zh-CN"/>
        </w:rPr>
        <w:t>六</w:t>
      </w:r>
      <w:r>
        <w:rPr>
          <w:rFonts w:hint="eastAsia" w:ascii="宋体" w:hAnsi="宋体"/>
          <w:b/>
          <w:sz w:val="32"/>
          <w:szCs w:val="32"/>
        </w:rPr>
        <w:t>条</w:t>
      </w: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引导基金有关情况应在业务主管部门门户网站向社会公开，接受社会监督。</w:t>
      </w:r>
    </w:p>
    <w:p>
      <w:pPr>
        <w:keepNext w:val="0"/>
        <w:keepLines w:val="0"/>
        <w:pageBreakBefore w:val="0"/>
        <w:kinsoku/>
        <w:wordWrap/>
        <w:overflowPunct/>
        <w:autoSpaceDE/>
        <w:autoSpaceDN/>
        <w:bidi w:val="0"/>
        <w:adjustRightInd w:val="0"/>
        <w:snapToGrid w:val="0"/>
        <w:spacing w:line="540" w:lineRule="exact"/>
        <w:ind w:right="0" w:rightChars="0" w:firstLine="548" w:firstLineChars="196"/>
        <w:textAlignment w:val="auto"/>
        <w:rPr>
          <w:rFonts w:ascii="仿宋_GB2312" w:eastAsia="仿宋_GB2312"/>
          <w:sz w:val="32"/>
          <w:szCs w:val="32"/>
        </w:rPr>
      </w:pPr>
      <w:r>
        <w:rPr>
          <w:rFonts w:hint="eastAsia" w:ascii="楷体" w:hAnsi="楷体" w:eastAsia="楷体" w:cs="楷体"/>
          <w:sz w:val="28"/>
          <w:szCs w:val="28"/>
        </w:rPr>
        <w:t>【编制说明】对引导基金公开监督的要求，参考《佛山市人民政府办公室关于印发佛山市本级政府投资基金管理实施办法的通知》（佛府办函〔2018〕996号）。</w:t>
      </w:r>
    </w:p>
    <w:p>
      <w:pPr>
        <w:keepNext w:val="0"/>
        <w:keepLines w:val="0"/>
        <w:pageBreakBefore w:val="0"/>
        <w:kinsoku/>
        <w:wordWrap/>
        <w:overflowPunct/>
        <w:autoSpaceDE/>
        <w:autoSpaceDN/>
        <w:bidi w:val="0"/>
        <w:adjustRightInd w:val="0"/>
        <w:snapToGrid w:val="0"/>
        <w:spacing w:line="540" w:lineRule="exact"/>
        <w:ind w:right="0" w:rightChars="0"/>
        <w:jc w:val="center"/>
        <w:textAlignment w:val="auto"/>
        <w:rPr>
          <w:rFonts w:ascii="宋体" w:hAnsi="宋体"/>
          <w:b/>
          <w:sz w:val="32"/>
          <w:szCs w:val="32"/>
        </w:rPr>
      </w:pPr>
      <w:r>
        <w:rPr>
          <w:rFonts w:ascii="宋体" w:hAnsi="宋体"/>
          <w:b/>
          <w:sz w:val="32"/>
          <w:szCs w:val="32"/>
        </w:rPr>
        <w:t xml:space="preserve">  </w:t>
      </w:r>
    </w:p>
    <w:p>
      <w:pPr>
        <w:keepNext w:val="0"/>
        <w:keepLines w:val="0"/>
        <w:pageBreakBefore w:val="0"/>
        <w:kinsoku/>
        <w:wordWrap/>
        <w:overflowPunct/>
        <w:autoSpaceDE/>
        <w:autoSpaceDN/>
        <w:bidi w:val="0"/>
        <w:adjustRightInd w:val="0"/>
        <w:snapToGrid w:val="0"/>
        <w:spacing w:line="540" w:lineRule="exact"/>
        <w:ind w:right="0" w:rightChars="0"/>
        <w:jc w:val="center"/>
        <w:textAlignment w:val="auto"/>
        <w:outlineLvl w:val="0"/>
        <w:rPr>
          <w:rFonts w:ascii="黑体" w:hAnsi="宋体" w:eastAsia="黑体"/>
          <w:b/>
          <w:sz w:val="32"/>
          <w:szCs w:val="32"/>
        </w:rPr>
      </w:pPr>
      <w:r>
        <w:rPr>
          <w:rFonts w:hint="eastAsia" w:ascii="黑体" w:hAnsi="宋体" w:eastAsia="黑体"/>
          <w:b/>
          <w:sz w:val="32"/>
          <w:szCs w:val="32"/>
        </w:rPr>
        <w:t>第九章  附  则</w:t>
      </w:r>
    </w:p>
    <w:p>
      <w:pPr>
        <w:keepNext w:val="0"/>
        <w:keepLines w:val="0"/>
        <w:pageBreakBefore w:val="0"/>
        <w:kinsoku/>
        <w:wordWrap/>
        <w:overflowPunct/>
        <w:autoSpaceDE/>
        <w:autoSpaceDN/>
        <w:bidi w:val="0"/>
        <w:adjustRightInd w:val="0"/>
        <w:snapToGrid w:val="0"/>
        <w:spacing w:line="540" w:lineRule="exact"/>
        <w:ind w:right="0" w:rightChars="0" w:firstLine="630" w:firstLineChars="196"/>
        <w:textAlignment w:val="auto"/>
        <w:rPr>
          <w:rFonts w:ascii="仿宋_GB2312" w:eastAsia="仿宋_GB2312"/>
          <w:sz w:val="32"/>
          <w:szCs w:val="32"/>
        </w:rPr>
      </w:pPr>
      <w:r>
        <w:rPr>
          <w:rFonts w:hint="eastAsia" w:ascii="宋体" w:hAnsi="宋体"/>
          <w:b/>
          <w:sz w:val="32"/>
          <w:szCs w:val="32"/>
        </w:rPr>
        <w:t>第四十</w:t>
      </w:r>
      <w:r>
        <w:rPr>
          <w:rFonts w:hint="eastAsia" w:ascii="宋体" w:hAnsi="宋体"/>
          <w:b/>
          <w:sz w:val="32"/>
          <w:szCs w:val="32"/>
          <w:lang w:eastAsia="zh-CN"/>
        </w:rPr>
        <w:t>七</w:t>
      </w:r>
      <w:r>
        <w:rPr>
          <w:rFonts w:hint="eastAsia" w:ascii="宋体" w:hAnsi="宋体"/>
          <w:b/>
          <w:sz w:val="32"/>
          <w:szCs w:val="32"/>
        </w:rPr>
        <w:t>条</w:t>
      </w:r>
      <w:r>
        <w:rPr>
          <w:rFonts w:hint="eastAsia"/>
        </w:rPr>
        <w:t xml:space="preserve">   </w:t>
      </w:r>
      <w:r>
        <w:rPr>
          <w:rFonts w:hint="eastAsia" w:ascii="仿宋_GB2312" w:eastAsia="仿宋_GB2312"/>
          <w:sz w:val="32"/>
          <w:szCs w:val="32"/>
        </w:rPr>
        <w:t>本办法由市科技局负责解释，并根据市有关管理办法的调整而进行适时修订。</w:t>
      </w:r>
    </w:p>
    <w:p>
      <w:pPr>
        <w:keepNext w:val="0"/>
        <w:keepLines w:val="0"/>
        <w:pageBreakBefore w:val="0"/>
        <w:kinsoku/>
        <w:wordWrap/>
        <w:overflowPunct/>
        <w:autoSpaceDE/>
        <w:autoSpaceDN/>
        <w:bidi w:val="0"/>
        <w:adjustRightInd w:val="0"/>
        <w:snapToGrid w:val="0"/>
        <w:spacing w:line="540" w:lineRule="exact"/>
        <w:ind w:right="0" w:rightChars="0" w:firstLine="548" w:firstLineChars="196"/>
        <w:textAlignment w:val="auto"/>
        <w:rPr>
          <w:rFonts w:ascii="仿宋_GB2312" w:eastAsia="仿宋_GB2312"/>
          <w:sz w:val="32"/>
          <w:szCs w:val="32"/>
        </w:rPr>
      </w:pPr>
      <w:r>
        <w:rPr>
          <w:rFonts w:hint="eastAsia" w:ascii="楷体" w:hAnsi="楷体" w:eastAsia="楷体" w:cs="楷体"/>
          <w:sz w:val="28"/>
          <w:szCs w:val="28"/>
        </w:rPr>
        <w:t>【编制说明】本办法解释部门。</w:t>
      </w:r>
    </w:p>
    <w:p>
      <w:pPr>
        <w:keepNext w:val="0"/>
        <w:keepLines w:val="0"/>
        <w:pageBreakBefore w:val="0"/>
        <w:kinsoku/>
        <w:wordWrap/>
        <w:overflowPunct/>
        <w:autoSpaceDE/>
        <w:autoSpaceDN/>
        <w:bidi w:val="0"/>
        <w:adjustRightInd w:val="0"/>
        <w:snapToGrid w:val="0"/>
        <w:spacing w:line="540" w:lineRule="exact"/>
        <w:ind w:right="0" w:rightChars="0"/>
        <w:textAlignment w:val="auto"/>
        <w:rPr>
          <w:rFonts w:ascii="仿宋_GB2312" w:eastAsia="仿宋_GB2312"/>
          <w:sz w:val="32"/>
          <w:szCs w:val="32"/>
        </w:rPr>
      </w:pPr>
      <w:r>
        <w:rPr>
          <w:rFonts w:hint="eastAsia" w:ascii="宋体" w:hAnsi="宋体"/>
          <w:b/>
          <w:sz w:val="32"/>
          <w:szCs w:val="32"/>
        </w:rPr>
        <w:t xml:space="preserve">    第四十</w:t>
      </w:r>
      <w:r>
        <w:rPr>
          <w:rFonts w:hint="eastAsia" w:ascii="宋体" w:hAnsi="宋体"/>
          <w:b/>
          <w:sz w:val="32"/>
          <w:szCs w:val="32"/>
          <w:lang w:eastAsia="zh-CN"/>
        </w:rPr>
        <w:t>八</w:t>
      </w:r>
      <w:r>
        <w:rPr>
          <w:rFonts w:hint="eastAsia" w:ascii="宋体" w:hAnsi="宋体"/>
          <w:b/>
          <w:sz w:val="32"/>
          <w:szCs w:val="32"/>
        </w:rPr>
        <w:t>条</w:t>
      </w:r>
      <w:r>
        <w:rPr>
          <w:rFonts w:hint="eastAsia"/>
        </w:rPr>
        <w:t xml:space="preserve">  </w:t>
      </w:r>
      <w:r>
        <w:rPr>
          <w:rFonts w:hint="eastAsia" w:ascii="仿宋_GB2312" w:eastAsia="仿宋_GB2312"/>
          <w:sz w:val="32"/>
          <w:szCs w:val="32"/>
        </w:rPr>
        <w:t>本办法自</w:t>
      </w:r>
      <w:r>
        <w:rPr>
          <w:rFonts w:hint="eastAsia" w:ascii="仿宋_GB2312" w:eastAsia="仿宋_GB2312"/>
          <w:sz w:val="32"/>
          <w:szCs w:val="32"/>
          <w:lang w:val="en-US" w:eastAsia="zh-CN"/>
        </w:rPr>
        <w:t>2020年x月x日</w:t>
      </w:r>
      <w:r>
        <w:rPr>
          <w:rFonts w:hint="eastAsia" w:ascii="仿宋_GB2312" w:eastAsia="仿宋_GB2312"/>
          <w:sz w:val="32"/>
          <w:szCs w:val="32"/>
        </w:rPr>
        <w:t>起</w:t>
      </w:r>
      <w:r>
        <w:rPr>
          <w:rFonts w:hint="eastAsia" w:ascii="仿宋_GB2312" w:eastAsia="仿宋_GB2312"/>
          <w:sz w:val="32"/>
          <w:szCs w:val="32"/>
          <w:lang w:eastAsia="zh-CN"/>
        </w:rPr>
        <w:t>施行。</w:t>
      </w:r>
      <w:r>
        <w:rPr>
          <w:rFonts w:hint="eastAsia" w:ascii="仿宋_GB2312" w:eastAsia="仿宋_GB2312"/>
          <w:sz w:val="32"/>
          <w:szCs w:val="32"/>
        </w:rPr>
        <w:t>此前印发的有关引导基金管理文件内容规定与本办法不一致的，以本办法为准。本办法出台前已由引导基金承诺出资的相关投资基金，除参照本办法相关条款要求、由市基金办会同市科技局进行规范管理外，还须按以下原则整顿清理：</w:t>
      </w:r>
    </w:p>
    <w:p>
      <w:pPr>
        <w:keepNext w:val="0"/>
        <w:keepLines w:val="0"/>
        <w:pageBreakBefore w:val="0"/>
        <w:kinsoku/>
        <w:wordWrap/>
        <w:overflowPunct/>
        <w:autoSpaceDE/>
        <w:autoSpaceDN/>
        <w:bidi w:val="0"/>
        <w:adjustRightInd w:val="0"/>
        <w:snapToGrid w:val="0"/>
        <w:spacing w:line="540" w:lineRule="exact"/>
        <w:ind w:right="0" w:rightChars="0"/>
        <w:textAlignment w:val="auto"/>
        <w:rPr>
          <w:rFonts w:ascii="仿宋_GB2312" w:eastAsia="仿宋_GB2312"/>
          <w:sz w:val="32"/>
          <w:szCs w:val="32"/>
        </w:rPr>
      </w:pPr>
      <w:r>
        <w:rPr>
          <w:rFonts w:hint="eastAsia" w:ascii="仿宋_GB2312" w:eastAsia="仿宋_GB2312"/>
          <w:sz w:val="32"/>
          <w:szCs w:val="32"/>
        </w:rPr>
        <w:t xml:space="preserve">    （一）对已签约的子基金，若社会出资人出资承诺期到期且未按承诺完成基金设立、募集或出资的，则按照相关规定启动清退手续，引导基金不再出资；</w:t>
      </w:r>
    </w:p>
    <w:p>
      <w:pPr>
        <w:keepNext w:val="0"/>
        <w:keepLines w:val="0"/>
        <w:pageBreakBefore w:val="0"/>
        <w:kinsoku/>
        <w:wordWrap/>
        <w:overflowPunct/>
        <w:autoSpaceDE/>
        <w:autoSpaceDN/>
        <w:bidi w:val="0"/>
        <w:adjustRightInd w:val="0"/>
        <w:snapToGrid w:val="0"/>
        <w:spacing w:line="540" w:lineRule="exact"/>
        <w:ind w:right="0" w:rightChars="0" w:firstLine="640"/>
        <w:textAlignment w:val="auto"/>
        <w:rPr>
          <w:rFonts w:ascii="仿宋_GB2312" w:eastAsia="仿宋_GB2312"/>
          <w:sz w:val="32"/>
          <w:szCs w:val="32"/>
        </w:rPr>
      </w:pPr>
      <w:r>
        <w:rPr>
          <w:rFonts w:hint="eastAsia" w:ascii="仿宋_GB2312" w:eastAsia="仿宋_GB2312"/>
          <w:sz w:val="32"/>
          <w:szCs w:val="32"/>
        </w:rPr>
        <w:t>（二）对未按承诺完成全部资金募集但引导基金已按进度拨付部分出资额度的子基金，则引导基金已出资部分作为对该子基金的总投资额度，引导基金不再出资剩余部分；</w:t>
      </w:r>
    </w:p>
    <w:p>
      <w:pPr>
        <w:keepNext w:val="0"/>
        <w:keepLines w:val="0"/>
        <w:pageBreakBefore w:val="0"/>
        <w:kinsoku/>
        <w:wordWrap/>
        <w:overflowPunct/>
        <w:autoSpaceDE/>
        <w:autoSpaceDN/>
        <w:bidi w:val="0"/>
        <w:adjustRightInd w:val="0"/>
        <w:snapToGrid w:val="0"/>
        <w:spacing w:line="540" w:lineRule="exact"/>
        <w:ind w:right="0" w:rightChars="0" w:firstLine="640"/>
        <w:textAlignment w:val="auto"/>
        <w:rPr>
          <w:rFonts w:ascii="仿宋_GB2312" w:eastAsia="仿宋_GB2312"/>
          <w:sz w:val="32"/>
          <w:szCs w:val="32"/>
        </w:rPr>
      </w:pPr>
      <w:r>
        <w:rPr>
          <w:rFonts w:hint="eastAsia" w:ascii="仿宋_GB2312" w:eastAsia="仿宋_GB2312"/>
          <w:sz w:val="32"/>
          <w:szCs w:val="32"/>
        </w:rPr>
        <w:t>（三）对已完成全部资金募集且引导基金承诺出资全部到位的子基金，按</w:t>
      </w:r>
      <w:r>
        <w:rPr>
          <w:rFonts w:hint="eastAsia" w:ascii="仿宋_GB2312" w:eastAsia="仿宋_GB2312"/>
          <w:sz w:val="32"/>
          <w:szCs w:val="32"/>
          <w:lang w:eastAsia="zh-CN"/>
        </w:rPr>
        <w:t>原</w:t>
      </w:r>
      <w:r>
        <w:rPr>
          <w:rFonts w:hint="eastAsia" w:ascii="仿宋_GB2312" w:eastAsia="仿宋_GB2312"/>
          <w:sz w:val="32"/>
          <w:szCs w:val="32"/>
        </w:rPr>
        <w:t>办法的规定继续运行，若存续期满则应及时清算退出。</w:t>
      </w:r>
    </w:p>
    <w:p>
      <w:pPr>
        <w:keepNext w:val="0"/>
        <w:keepLines w:val="0"/>
        <w:pageBreakBefore w:val="0"/>
        <w:kinsoku/>
        <w:wordWrap/>
        <w:overflowPunct/>
        <w:autoSpaceDE/>
        <w:autoSpaceDN/>
        <w:bidi w:val="0"/>
        <w:adjustRightInd w:val="0"/>
        <w:snapToGrid w:val="0"/>
        <w:spacing w:line="540" w:lineRule="exact"/>
        <w:ind w:right="0" w:rightChars="0" w:firstLine="640"/>
        <w:textAlignment w:val="auto"/>
        <w:rPr>
          <w:rFonts w:ascii="仿宋_GB2312" w:eastAsia="仿宋_GB2312"/>
          <w:sz w:val="32"/>
          <w:szCs w:val="32"/>
        </w:rPr>
      </w:pPr>
      <w:r>
        <w:rPr>
          <w:rFonts w:hint="eastAsia" w:ascii="楷体" w:hAnsi="楷体" w:eastAsia="楷体" w:cs="楷体"/>
          <w:sz w:val="28"/>
          <w:szCs w:val="28"/>
        </w:rPr>
        <w:t>【编制说明】本办法时效和根据《佛山市人民政府办公室关于市级财政出资政策性基金清理规范的实施意见》（佛府办函〔2018〕1003号）对存量基金的清理规范要求。</w:t>
      </w:r>
    </w:p>
    <w:sectPr>
      <w:footerReference r:id="rId3" w:type="default"/>
      <w:pgSz w:w="11906" w:h="16838"/>
      <w:pgMar w:top="1701" w:right="1474" w:bottom="147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Arial Unicode MS">
    <w:altName w:val="宋体"/>
    <w:panose1 w:val="00000000000000000000"/>
    <w:charset w:val="86"/>
    <w:family w:val="roman"/>
    <w:pitch w:val="default"/>
    <w:sig w:usb0="00000000" w:usb1="00000000" w:usb2="00000000" w:usb3="00000000" w:csb0="00000000" w:csb1="00000000"/>
  </w:font>
  <w:font w:name="Helvetica Neue">
    <w:altName w:val="Segoe Print"/>
    <w:panose1 w:val="00000000000000000000"/>
    <w:charset w:val="00"/>
    <w:family w:val="roman"/>
    <w:pitch w:val="default"/>
    <w:sig w:usb0="00000000" w:usb1="00000000" w:usb2="00000000" w:usb3="00000000" w:csb0="00000000" w:csb1="00000000"/>
  </w:font>
  <w:font w:name="FangSong_GB2312">
    <w:altName w:val="仿宋_GB2312"/>
    <w:panose1 w:val="00000000000000000000"/>
    <w:charset w:val="00"/>
    <w:family w:val="roman"/>
    <w:pitch w:val="default"/>
    <w:sig w:usb0="00000000" w:usb1="00000000" w:usb2="00000000" w:usb3="00000000" w:csb0="00000000" w:csb1="00000000"/>
  </w:font>
  <w:font w:name="KaiTi_GB2312">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21</w:t>
                          </w:r>
                          <w:r>
                            <w:rPr>
                              <w:rFonts w:hint="eastAsia"/>
                              <w:sz w:val="18"/>
                            </w:rPr>
                            <w:fldChar w:fldCharType="end"/>
                          </w:r>
                        </w:p>
                      </w:txbxContent>
                    </wps:txbx>
                    <wps:bodyPr wrap="none" lIns="0" tIns="0" rIns="0" bIns="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M6pebnPAAAABQEAAA8AAAAAAAAA&#10;AQAgAAAAIgAAAGRycy9kb3ducmV2LnhtbFBLAQIUABQAAAAIAIdO4kBSPlf4qAEAAEIDAAAOAAAA&#10;AAAAAAEAIAAAAB4BAABkcnMvZTJvRG9jLnhtbFBLBQYAAAAABgAGAFkBAAA4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21</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E03"/>
    <w:rsid w:val="00010488"/>
    <w:rsid w:val="000242A9"/>
    <w:rsid w:val="0002555E"/>
    <w:rsid w:val="00025D34"/>
    <w:rsid w:val="000424E2"/>
    <w:rsid w:val="00062CF5"/>
    <w:rsid w:val="000718C8"/>
    <w:rsid w:val="000834A5"/>
    <w:rsid w:val="0009627F"/>
    <w:rsid w:val="000A00EF"/>
    <w:rsid w:val="000A728C"/>
    <w:rsid w:val="000E4AEC"/>
    <w:rsid w:val="000F3937"/>
    <w:rsid w:val="000F3A3F"/>
    <w:rsid w:val="000F6871"/>
    <w:rsid w:val="001060AC"/>
    <w:rsid w:val="00127F7D"/>
    <w:rsid w:val="001358E8"/>
    <w:rsid w:val="00141491"/>
    <w:rsid w:val="00144DB0"/>
    <w:rsid w:val="00145A23"/>
    <w:rsid w:val="00166C37"/>
    <w:rsid w:val="0016744E"/>
    <w:rsid w:val="00172A27"/>
    <w:rsid w:val="001A3AA6"/>
    <w:rsid w:val="001C32F8"/>
    <w:rsid w:val="001D5815"/>
    <w:rsid w:val="001E6C77"/>
    <w:rsid w:val="002032F6"/>
    <w:rsid w:val="00213DE8"/>
    <w:rsid w:val="00216C13"/>
    <w:rsid w:val="002225DC"/>
    <w:rsid w:val="002253DC"/>
    <w:rsid w:val="00233107"/>
    <w:rsid w:val="00240378"/>
    <w:rsid w:val="00240A30"/>
    <w:rsid w:val="00253354"/>
    <w:rsid w:val="00271775"/>
    <w:rsid w:val="0027604A"/>
    <w:rsid w:val="002849C9"/>
    <w:rsid w:val="002851D4"/>
    <w:rsid w:val="002879C7"/>
    <w:rsid w:val="002B3661"/>
    <w:rsid w:val="002B3E45"/>
    <w:rsid w:val="002C3658"/>
    <w:rsid w:val="002D0203"/>
    <w:rsid w:val="002D2C7B"/>
    <w:rsid w:val="002D6F73"/>
    <w:rsid w:val="002E2182"/>
    <w:rsid w:val="002E33C1"/>
    <w:rsid w:val="002E6FBC"/>
    <w:rsid w:val="00302043"/>
    <w:rsid w:val="003335B7"/>
    <w:rsid w:val="00344BB9"/>
    <w:rsid w:val="00352ED6"/>
    <w:rsid w:val="00362EAD"/>
    <w:rsid w:val="0036627C"/>
    <w:rsid w:val="003A1894"/>
    <w:rsid w:val="003C16BB"/>
    <w:rsid w:val="00400A69"/>
    <w:rsid w:val="00464FA8"/>
    <w:rsid w:val="0046513F"/>
    <w:rsid w:val="004752BE"/>
    <w:rsid w:val="00481A4A"/>
    <w:rsid w:val="00492593"/>
    <w:rsid w:val="004A0697"/>
    <w:rsid w:val="004B5668"/>
    <w:rsid w:val="004D0600"/>
    <w:rsid w:val="004D074A"/>
    <w:rsid w:val="00502A7A"/>
    <w:rsid w:val="0050510B"/>
    <w:rsid w:val="00517492"/>
    <w:rsid w:val="005368A2"/>
    <w:rsid w:val="005555C2"/>
    <w:rsid w:val="0056149E"/>
    <w:rsid w:val="00582EAB"/>
    <w:rsid w:val="005912F2"/>
    <w:rsid w:val="005C5A53"/>
    <w:rsid w:val="005D15FE"/>
    <w:rsid w:val="005E3160"/>
    <w:rsid w:val="005F25CE"/>
    <w:rsid w:val="006002F7"/>
    <w:rsid w:val="0061056C"/>
    <w:rsid w:val="00615182"/>
    <w:rsid w:val="00620BEB"/>
    <w:rsid w:val="00626C0C"/>
    <w:rsid w:val="00631884"/>
    <w:rsid w:val="00647BEB"/>
    <w:rsid w:val="006500AB"/>
    <w:rsid w:val="00650878"/>
    <w:rsid w:val="00651084"/>
    <w:rsid w:val="006571D5"/>
    <w:rsid w:val="006802E9"/>
    <w:rsid w:val="00683B34"/>
    <w:rsid w:val="006851BD"/>
    <w:rsid w:val="00690C94"/>
    <w:rsid w:val="006948A4"/>
    <w:rsid w:val="006A2DB0"/>
    <w:rsid w:val="006A733B"/>
    <w:rsid w:val="006B4678"/>
    <w:rsid w:val="006C0778"/>
    <w:rsid w:val="006C1E1F"/>
    <w:rsid w:val="006C490E"/>
    <w:rsid w:val="006E368A"/>
    <w:rsid w:val="00703752"/>
    <w:rsid w:val="007152E1"/>
    <w:rsid w:val="00732A10"/>
    <w:rsid w:val="007543C8"/>
    <w:rsid w:val="00771A27"/>
    <w:rsid w:val="00771F9D"/>
    <w:rsid w:val="0077374F"/>
    <w:rsid w:val="007B4A7B"/>
    <w:rsid w:val="007C3C99"/>
    <w:rsid w:val="007C49F9"/>
    <w:rsid w:val="007D317E"/>
    <w:rsid w:val="007D79A1"/>
    <w:rsid w:val="00835041"/>
    <w:rsid w:val="00844E8B"/>
    <w:rsid w:val="0087510A"/>
    <w:rsid w:val="008905FB"/>
    <w:rsid w:val="00892DC8"/>
    <w:rsid w:val="008A6063"/>
    <w:rsid w:val="008B0521"/>
    <w:rsid w:val="008D59B9"/>
    <w:rsid w:val="008E5F33"/>
    <w:rsid w:val="008F182B"/>
    <w:rsid w:val="008F2BA8"/>
    <w:rsid w:val="008F6BBE"/>
    <w:rsid w:val="0091040F"/>
    <w:rsid w:val="0091344D"/>
    <w:rsid w:val="00917057"/>
    <w:rsid w:val="00951E58"/>
    <w:rsid w:val="00980748"/>
    <w:rsid w:val="009839F2"/>
    <w:rsid w:val="009B148D"/>
    <w:rsid w:val="009C1232"/>
    <w:rsid w:val="009F1CFA"/>
    <w:rsid w:val="009F6C88"/>
    <w:rsid w:val="00A14B8E"/>
    <w:rsid w:val="00A1503C"/>
    <w:rsid w:val="00A545D2"/>
    <w:rsid w:val="00A666F7"/>
    <w:rsid w:val="00A700FD"/>
    <w:rsid w:val="00A724C8"/>
    <w:rsid w:val="00A82CFF"/>
    <w:rsid w:val="00A94416"/>
    <w:rsid w:val="00A96C3B"/>
    <w:rsid w:val="00AC245A"/>
    <w:rsid w:val="00AF4AF9"/>
    <w:rsid w:val="00B5360A"/>
    <w:rsid w:val="00B62B62"/>
    <w:rsid w:val="00B648C2"/>
    <w:rsid w:val="00B76BC2"/>
    <w:rsid w:val="00B825E5"/>
    <w:rsid w:val="00B83850"/>
    <w:rsid w:val="00B937EB"/>
    <w:rsid w:val="00BA2B33"/>
    <w:rsid w:val="00BA5C73"/>
    <w:rsid w:val="00BB5583"/>
    <w:rsid w:val="00BB647E"/>
    <w:rsid w:val="00BC1F40"/>
    <w:rsid w:val="00BD0E8B"/>
    <w:rsid w:val="00BD69CC"/>
    <w:rsid w:val="00BE2369"/>
    <w:rsid w:val="00BF4A1E"/>
    <w:rsid w:val="00C11F33"/>
    <w:rsid w:val="00C20512"/>
    <w:rsid w:val="00C44C0E"/>
    <w:rsid w:val="00C67250"/>
    <w:rsid w:val="00CC5571"/>
    <w:rsid w:val="00CE3FAD"/>
    <w:rsid w:val="00CF4CFE"/>
    <w:rsid w:val="00D05325"/>
    <w:rsid w:val="00D132B4"/>
    <w:rsid w:val="00D237E6"/>
    <w:rsid w:val="00D23F68"/>
    <w:rsid w:val="00D26442"/>
    <w:rsid w:val="00D306F7"/>
    <w:rsid w:val="00D37A1F"/>
    <w:rsid w:val="00D4556D"/>
    <w:rsid w:val="00D57643"/>
    <w:rsid w:val="00D6026F"/>
    <w:rsid w:val="00D84052"/>
    <w:rsid w:val="00DA0A4E"/>
    <w:rsid w:val="00DB08CC"/>
    <w:rsid w:val="00DC1C23"/>
    <w:rsid w:val="00DD1365"/>
    <w:rsid w:val="00DD43B1"/>
    <w:rsid w:val="00DD509B"/>
    <w:rsid w:val="00DD5DFB"/>
    <w:rsid w:val="00DF2531"/>
    <w:rsid w:val="00DF490F"/>
    <w:rsid w:val="00E17C6F"/>
    <w:rsid w:val="00E231C6"/>
    <w:rsid w:val="00E35DA8"/>
    <w:rsid w:val="00E560A1"/>
    <w:rsid w:val="00E62D5E"/>
    <w:rsid w:val="00E87D3C"/>
    <w:rsid w:val="00EC57AD"/>
    <w:rsid w:val="00ED330B"/>
    <w:rsid w:val="00EE0996"/>
    <w:rsid w:val="00EF3839"/>
    <w:rsid w:val="00EF3C85"/>
    <w:rsid w:val="00EF5902"/>
    <w:rsid w:val="00EF72D6"/>
    <w:rsid w:val="00EF7C6B"/>
    <w:rsid w:val="00F24F2F"/>
    <w:rsid w:val="00F2522A"/>
    <w:rsid w:val="00F46FE4"/>
    <w:rsid w:val="00F55F48"/>
    <w:rsid w:val="00F83C46"/>
    <w:rsid w:val="00FA7966"/>
    <w:rsid w:val="00FD58D7"/>
    <w:rsid w:val="00FF2CA8"/>
    <w:rsid w:val="02284F3C"/>
    <w:rsid w:val="02F17387"/>
    <w:rsid w:val="039E63D6"/>
    <w:rsid w:val="04233350"/>
    <w:rsid w:val="042A18A3"/>
    <w:rsid w:val="04885291"/>
    <w:rsid w:val="05346613"/>
    <w:rsid w:val="072210AD"/>
    <w:rsid w:val="08676DDF"/>
    <w:rsid w:val="086E12BD"/>
    <w:rsid w:val="087101C1"/>
    <w:rsid w:val="0895601F"/>
    <w:rsid w:val="08EF55EB"/>
    <w:rsid w:val="092B4301"/>
    <w:rsid w:val="09BF7E8C"/>
    <w:rsid w:val="0A1B3D2F"/>
    <w:rsid w:val="0A924697"/>
    <w:rsid w:val="0B44311D"/>
    <w:rsid w:val="0BC6007E"/>
    <w:rsid w:val="0C972657"/>
    <w:rsid w:val="0D0F0B64"/>
    <w:rsid w:val="0FF67555"/>
    <w:rsid w:val="103C3127"/>
    <w:rsid w:val="108D3F4C"/>
    <w:rsid w:val="10C76341"/>
    <w:rsid w:val="115A7860"/>
    <w:rsid w:val="12970AD5"/>
    <w:rsid w:val="13740649"/>
    <w:rsid w:val="14524505"/>
    <w:rsid w:val="154F5609"/>
    <w:rsid w:val="177319BB"/>
    <w:rsid w:val="18483E01"/>
    <w:rsid w:val="196208D3"/>
    <w:rsid w:val="19C74227"/>
    <w:rsid w:val="1A443224"/>
    <w:rsid w:val="1AD74490"/>
    <w:rsid w:val="1B750F58"/>
    <w:rsid w:val="1B993048"/>
    <w:rsid w:val="1C702802"/>
    <w:rsid w:val="1CA372C3"/>
    <w:rsid w:val="1CDC28F6"/>
    <w:rsid w:val="1E550BED"/>
    <w:rsid w:val="1E7F2FE6"/>
    <w:rsid w:val="1FA404B3"/>
    <w:rsid w:val="1FD66C71"/>
    <w:rsid w:val="21356175"/>
    <w:rsid w:val="22C70C29"/>
    <w:rsid w:val="241518F4"/>
    <w:rsid w:val="24951BCC"/>
    <w:rsid w:val="24E60B0E"/>
    <w:rsid w:val="25190ECC"/>
    <w:rsid w:val="261F797C"/>
    <w:rsid w:val="26906BB1"/>
    <w:rsid w:val="27D75C34"/>
    <w:rsid w:val="285C3157"/>
    <w:rsid w:val="29427256"/>
    <w:rsid w:val="29F76D54"/>
    <w:rsid w:val="2A3C7A6E"/>
    <w:rsid w:val="2A962699"/>
    <w:rsid w:val="2ADB7915"/>
    <w:rsid w:val="2BE70077"/>
    <w:rsid w:val="2C1E4F55"/>
    <w:rsid w:val="2C2659E7"/>
    <w:rsid w:val="2D71082E"/>
    <w:rsid w:val="2E1744C7"/>
    <w:rsid w:val="2E98182B"/>
    <w:rsid w:val="2F347CA8"/>
    <w:rsid w:val="2F8C1500"/>
    <w:rsid w:val="31D55770"/>
    <w:rsid w:val="32F6467C"/>
    <w:rsid w:val="330F3C4A"/>
    <w:rsid w:val="347A157C"/>
    <w:rsid w:val="3506284F"/>
    <w:rsid w:val="352003F2"/>
    <w:rsid w:val="355C23A0"/>
    <w:rsid w:val="35A71D55"/>
    <w:rsid w:val="35B12CC3"/>
    <w:rsid w:val="36490791"/>
    <w:rsid w:val="3723204A"/>
    <w:rsid w:val="372E69AA"/>
    <w:rsid w:val="375E352C"/>
    <w:rsid w:val="39BF7E5D"/>
    <w:rsid w:val="3B476CA7"/>
    <w:rsid w:val="3B5F2575"/>
    <w:rsid w:val="3C483F0A"/>
    <w:rsid w:val="3CC969CE"/>
    <w:rsid w:val="3DB07B6D"/>
    <w:rsid w:val="3E3F1D05"/>
    <w:rsid w:val="40097220"/>
    <w:rsid w:val="40126DC0"/>
    <w:rsid w:val="40A945D0"/>
    <w:rsid w:val="40E769E2"/>
    <w:rsid w:val="40F305CB"/>
    <w:rsid w:val="42CF3FA7"/>
    <w:rsid w:val="43047FD3"/>
    <w:rsid w:val="43227281"/>
    <w:rsid w:val="43616875"/>
    <w:rsid w:val="436222A3"/>
    <w:rsid w:val="44073075"/>
    <w:rsid w:val="44772BB8"/>
    <w:rsid w:val="447772C0"/>
    <w:rsid w:val="45294D24"/>
    <w:rsid w:val="46F305FE"/>
    <w:rsid w:val="4789101F"/>
    <w:rsid w:val="47DE6FB4"/>
    <w:rsid w:val="48C31A4A"/>
    <w:rsid w:val="48F06359"/>
    <w:rsid w:val="49300A6E"/>
    <w:rsid w:val="494A28F9"/>
    <w:rsid w:val="4B2F32F8"/>
    <w:rsid w:val="4B86791D"/>
    <w:rsid w:val="4CCA1D38"/>
    <w:rsid w:val="4D4165C3"/>
    <w:rsid w:val="4D4F5C12"/>
    <w:rsid w:val="4D6E479F"/>
    <w:rsid w:val="4E2F0033"/>
    <w:rsid w:val="4E671AC0"/>
    <w:rsid w:val="4EAA5DA1"/>
    <w:rsid w:val="4EB24361"/>
    <w:rsid w:val="4EF00DAA"/>
    <w:rsid w:val="507F3961"/>
    <w:rsid w:val="50966AAE"/>
    <w:rsid w:val="50A15FF9"/>
    <w:rsid w:val="510761BC"/>
    <w:rsid w:val="514744C8"/>
    <w:rsid w:val="51586B4E"/>
    <w:rsid w:val="51903DFB"/>
    <w:rsid w:val="51A708F1"/>
    <w:rsid w:val="529F662D"/>
    <w:rsid w:val="52C41E05"/>
    <w:rsid w:val="52D848C2"/>
    <w:rsid w:val="52F1277C"/>
    <w:rsid w:val="53546CB0"/>
    <w:rsid w:val="53F03F35"/>
    <w:rsid w:val="541D6CF8"/>
    <w:rsid w:val="545726F9"/>
    <w:rsid w:val="54BF1F43"/>
    <w:rsid w:val="55981692"/>
    <w:rsid w:val="561C0CFD"/>
    <w:rsid w:val="56772F9E"/>
    <w:rsid w:val="56CF0199"/>
    <w:rsid w:val="572B4585"/>
    <w:rsid w:val="57643E17"/>
    <w:rsid w:val="578E3466"/>
    <w:rsid w:val="57A12D62"/>
    <w:rsid w:val="58116945"/>
    <w:rsid w:val="59191593"/>
    <w:rsid w:val="5A3D189C"/>
    <w:rsid w:val="5A593F88"/>
    <w:rsid w:val="5AFE2392"/>
    <w:rsid w:val="5B491C2F"/>
    <w:rsid w:val="5B6C3D4B"/>
    <w:rsid w:val="5C265AD0"/>
    <w:rsid w:val="5C616F4A"/>
    <w:rsid w:val="5C7B1B88"/>
    <w:rsid w:val="5CC93D61"/>
    <w:rsid w:val="5CF34019"/>
    <w:rsid w:val="5D731538"/>
    <w:rsid w:val="5D933264"/>
    <w:rsid w:val="5DE43473"/>
    <w:rsid w:val="5F597662"/>
    <w:rsid w:val="5F6868D2"/>
    <w:rsid w:val="60D40EB9"/>
    <w:rsid w:val="60D863C7"/>
    <w:rsid w:val="61253CE9"/>
    <w:rsid w:val="61647782"/>
    <w:rsid w:val="624662E3"/>
    <w:rsid w:val="627B5175"/>
    <w:rsid w:val="62F4330D"/>
    <w:rsid w:val="62F5660D"/>
    <w:rsid w:val="63DA7B8B"/>
    <w:rsid w:val="64512757"/>
    <w:rsid w:val="64714735"/>
    <w:rsid w:val="656A11A4"/>
    <w:rsid w:val="66BA2168"/>
    <w:rsid w:val="66C31E63"/>
    <w:rsid w:val="67311F87"/>
    <w:rsid w:val="680E040E"/>
    <w:rsid w:val="69184D23"/>
    <w:rsid w:val="6A8A1164"/>
    <w:rsid w:val="6B450D7A"/>
    <w:rsid w:val="6BA562D2"/>
    <w:rsid w:val="6C1D7FE2"/>
    <w:rsid w:val="6C846F1B"/>
    <w:rsid w:val="6D056CE3"/>
    <w:rsid w:val="6DAB6EF6"/>
    <w:rsid w:val="6E1625E2"/>
    <w:rsid w:val="6E16276D"/>
    <w:rsid w:val="6E4E6FE1"/>
    <w:rsid w:val="6E56057C"/>
    <w:rsid w:val="6E775650"/>
    <w:rsid w:val="6EA70169"/>
    <w:rsid w:val="6EA965DA"/>
    <w:rsid w:val="6EE45395"/>
    <w:rsid w:val="6F8D6FD3"/>
    <w:rsid w:val="70004F39"/>
    <w:rsid w:val="70160243"/>
    <w:rsid w:val="70C771F8"/>
    <w:rsid w:val="7106601B"/>
    <w:rsid w:val="719E62C2"/>
    <w:rsid w:val="71AB4718"/>
    <w:rsid w:val="73D72DF6"/>
    <w:rsid w:val="74640E8F"/>
    <w:rsid w:val="74BA39BC"/>
    <w:rsid w:val="74E75F8F"/>
    <w:rsid w:val="75A42EC5"/>
    <w:rsid w:val="761C7A5B"/>
    <w:rsid w:val="78466158"/>
    <w:rsid w:val="791C29F7"/>
    <w:rsid w:val="7AA56231"/>
    <w:rsid w:val="7AFB1D03"/>
    <w:rsid w:val="7BB55354"/>
    <w:rsid w:val="7C365D0E"/>
    <w:rsid w:val="7CA912D5"/>
    <w:rsid w:val="7CCB73FC"/>
    <w:rsid w:val="7E837F1F"/>
    <w:rsid w:val="7EAC7278"/>
    <w:rsid w:val="7F7D6798"/>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semiHidden="0"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unhideWhenUsed/>
    <w:uiPriority w:val="1"/>
  </w:style>
  <w:style w:type="table" w:default="1" w:styleId="13">
    <w:name w:val="Normal Table"/>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18"/>
    <w:unhideWhenUsed/>
    <w:qFormat/>
    <w:uiPriority w:val="99"/>
    <w:rPr>
      <w:b/>
      <w:bCs/>
    </w:rPr>
  </w:style>
  <w:style w:type="paragraph" w:styleId="3">
    <w:name w:val="annotation text"/>
    <w:basedOn w:val="1"/>
    <w:link w:val="19"/>
    <w:qFormat/>
    <w:uiPriority w:val="0"/>
    <w:pPr>
      <w:jc w:val="left"/>
    </w:pPr>
  </w:style>
  <w:style w:type="paragraph" w:styleId="4">
    <w:name w:val="Document Map"/>
    <w:basedOn w:val="1"/>
    <w:link w:val="17"/>
    <w:unhideWhenUsed/>
    <w:uiPriority w:val="99"/>
    <w:rPr>
      <w:rFonts w:ascii="宋体"/>
      <w:sz w:val="18"/>
      <w:szCs w:val="18"/>
    </w:rPr>
  </w:style>
  <w:style w:type="paragraph" w:styleId="5">
    <w:name w:val="Balloon Text"/>
    <w:basedOn w:val="1"/>
    <w:qFormat/>
    <w:uiPriority w:val="0"/>
    <w:rPr>
      <w:sz w:val="18"/>
      <w:szCs w:val="18"/>
    </w:rPr>
  </w:style>
  <w:style w:type="paragraph" w:styleId="6">
    <w:name w:val="footer"/>
    <w:basedOn w:val="1"/>
    <w:uiPriority w:val="0"/>
    <w:pPr>
      <w:tabs>
        <w:tab w:val="center" w:pos="4153"/>
        <w:tab w:val="right" w:pos="8306"/>
      </w:tabs>
      <w:snapToGrid w:val="0"/>
      <w:jc w:val="left"/>
    </w:pPr>
    <w:rPr>
      <w:sz w:val="18"/>
      <w:szCs w:val="18"/>
    </w:rPr>
  </w:style>
  <w:style w:type="paragraph" w:styleId="7">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jc w:val="left"/>
    </w:pPr>
    <w:rPr>
      <w:rFonts w:ascii="宋体" w:hAnsi="宋体" w:cs="宋体"/>
      <w:kern w:val="0"/>
      <w:sz w:val="24"/>
    </w:rPr>
  </w:style>
  <w:style w:type="character" w:styleId="10">
    <w:name w:val="Strong"/>
    <w:qFormat/>
    <w:uiPriority w:val="22"/>
    <w:rPr>
      <w:b/>
    </w:rPr>
  </w:style>
  <w:style w:type="character" w:styleId="11">
    <w:name w:val="page number"/>
    <w:qFormat/>
    <w:uiPriority w:val="0"/>
  </w:style>
  <w:style w:type="character" w:styleId="12">
    <w:name w:val="annotation reference"/>
    <w:qFormat/>
    <w:uiPriority w:val="0"/>
    <w:rPr>
      <w:sz w:val="21"/>
      <w:szCs w:val="21"/>
    </w:rPr>
  </w:style>
  <w:style w:type="paragraph" w:customStyle="1" w:styleId="14">
    <w:name w:val="_Style 13"/>
    <w:semiHidden/>
    <w:qFormat/>
    <w:uiPriority w:val="99"/>
    <w:rPr>
      <w:rFonts w:ascii="Calibri" w:hAnsi="Calibri" w:eastAsia="宋体" w:cs="Times New Roman"/>
      <w:kern w:val="2"/>
      <w:sz w:val="21"/>
      <w:szCs w:val="24"/>
      <w:lang w:val="en-US" w:eastAsia="zh-CN" w:bidi="ar-SA"/>
    </w:rPr>
  </w:style>
  <w:style w:type="paragraph" w:customStyle="1" w:styleId="15">
    <w:name w:val="p0"/>
    <w:basedOn w:val="1"/>
    <w:qFormat/>
    <w:uiPriority w:val="0"/>
    <w:pPr>
      <w:widowControl/>
      <w:jc w:val="left"/>
    </w:pPr>
    <w:rPr>
      <w:rFonts w:ascii="宋体" w:hAnsi="宋体" w:cs="宋体"/>
      <w:kern w:val="0"/>
      <w:sz w:val="24"/>
    </w:rPr>
  </w:style>
  <w:style w:type="character" w:customStyle="1" w:styleId="16">
    <w:name w:val="fontstyle01"/>
    <w:qFormat/>
    <w:uiPriority w:val="0"/>
    <w:rPr>
      <w:rFonts w:hint="default" w:ascii="仿宋" w:hAnsi="仿宋"/>
      <w:color w:val="000000"/>
      <w:sz w:val="32"/>
      <w:szCs w:val="32"/>
    </w:rPr>
  </w:style>
  <w:style w:type="character" w:customStyle="1" w:styleId="17">
    <w:name w:val="文档结构图 字符"/>
    <w:link w:val="4"/>
    <w:semiHidden/>
    <w:qFormat/>
    <w:uiPriority w:val="99"/>
    <w:rPr>
      <w:rFonts w:ascii="宋体"/>
      <w:kern w:val="2"/>
      <w:sz w:val="18"/>
      <w:szCs w:val="18"/>
    </w:rPr>
  </w:style>
  <w:style w:type="character" w:customStyle="1" w:styleId="18">
    <w:name w:val="批注主题 字符"/>
    <w:basedOn w:val="19"/>
    <w:link w:val="2"/>
    <w:qFormat/>
    <w:uiPriority w:val="0"/>
    <w:rPr>
      <w:kern w:val="2"/>
      <w:sz w:val="21"/>
      <w:szCs w:val="24"/>
    </w:rPr>
  </w:style>
  <w:style w:type="character" w:customStyle="1" w:styleId="19">
    <w:name w:val="批注文字 字符"/>
    <w:link w:val="3"/>
    <w:qFormat/>
    <w:uiPriority w:val="0"/>
    <w:rPr>
      <w:kern w:val="2"/>
      <w:sz w:val="21"/>
      <w:szCs w:val="24"/>
    </w:rPr>
  </w:style>
  <w:style w:type="character" w:customStyle="1" w:styleId="20">
    <w:name w:val="页眉 字符"/>
    <w:link w:val="7"/>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25</Pages>
  <Words>2013</Words>
  <Characters>11479</Characters>
  <Lines>95</Lines>
  <Paragraphs>26</Paragraphs>
  <ScaleCrop>false</ScaleCrop>
  <LinksUpToDate>false</LinksUpToDate>
  <CharactersWithSpaces>13466</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2019-08-21T06:30:00Z</dcterms:created>
  <dc:creator>Administrator</dc:creator>
  <cp:lastModifiedBy>郑岁华</cp:lastModifiedBy>
  <cp:lastPrinted>2019-09-27T06:17:00Z</cp:lastPrinted>
  <dcterms:modified xsi:type="dcterms:W3CDTF">2019-09-30T01:21:49Z</dcterms:modified>
  <dc:title>佛山市创新创业产业引导基金管理委员会关于印发佛山市创新创业产业引导</dc:title>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