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rPr>
          <w:rFonts w:hint="eastAsia"/>
          <w:lang w:val="en-US" w:eastAsia="zh-CN"/>
        </w:rPr>
      </w:pPr>
    </w:p>
    <w:p>
      <w:pPr>
        <w:pStyle w:val="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2021年第二批自筹经费类科技计划项目</w:t>
      </w:r>
    </w:p>
    <w:p>
      <w:pPr>
        <w:pStyle w:val="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sz w:val="44"/>
          <w:szCs w:val="44"/>
        </w:rPr>
      </w:pPr>
      <w:r>
        <w:rPr>
          <w:rFonts w:hint="eastAsia" w:ascii="方正小标宋简体" w:hAnsi="方正小标宋简体" w:eastAsia="方正小标宋简体" w:cs="方正小标宋简体"/>
          <w:sz w:val="44"/>
          <w:szCs w:val="44"/>
        </w:rPr>
        <w:t>验收结果（项目终止部分）</w:t>
      </w:r>
    </w:p>
    <w:p>
      <w:pPr>
        <w:numPr>
          <w:ilvl w:val="0"/>
          <w:numId w:val="0"/>
        </w:numPr>
        <w:jc w:val="both"/>
        <w:rPr>
          <w:rFonts w:hint="eastAsia" w:ascii="宋体" w:hAnsi="宋体"/>
          <w:b/>
          <w:color w:val="auto"/>
          <w:sz w:val="21"/>
          <w:szCs w:val="21"/>
          <w:lang w:eastAsia="zh-CN"/>
        </w:rPr>
      </w:pPr>
    </w:p>
    <w:tbl>
      <w:tblPr>
        <w:tblStyle w:val="5"/>
        <w:tblW w:w="88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40" w:type="dxa"/>
          <w:bottom w:w="0" w:type="dxa"/>
          <w:right w:w="40" w:type="dxa"/>
        </w:tblCellMar>
      </w:tblPr>
      <w:tblGrid>
        <w:gridCol w:w="536"/>
        <w:gridCol w:w="2520"/>
        <w:gridCol w:w="1490"/>
        <w:gridCol w:w="833"/>
        <w:gridCol w:w="833"/>
        <w:gridCol w:w="834"/>
        <w:gridCol w:w="980"/>
        <w:gridCol w:w="7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556" w:hRule="atLeast"/>
          <w:tblHeader/>
          <w:jc w:val="center"/>
        </w:trPr>
        <w:tc>
          <w:tcPr>
            <w:tcW w:w="536" w:type="dxa"/>
            <w:vMerge w:val="restart"/>
            <w:shd w:val="clear" w:color="C0C0C0" w:fill="auto"/>
            <w:noWrap/>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序号</w:t>
            </w:r>
          </w:p>
        </w:tc>
        <w:tc>
          <w:tcPr>
            <w:tcW w:w="2520" w:type="dxa"/>
            <w:vMerge w:val="restart"/>
            <w:shd w:val="clear" w:color="C0C0C0" w:fill="auto"/>
            <w:noWrap/>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项目名称</w:t>
            </w:r>
          </w:p>
        </w:tc>
        <w:tc>
          <w:tcPr>
            <w:tcW w:w="1490" w:type="dxa"/>
            <w:vMerge w:val="restart"/>
            <w:shd w:val="clear" w:color="C0C0C0" w:fill="auto"/>
            <w:noWrap/>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承担单位</w:t>
            </w:r>
          </w:p>
        </w:tc>
        <w:tc>
          <w:tcPr>
            <w:tcW w:w="2500" w:type="dxa"/>
            <w:gridSpan w:val="3"/>
            <w:shd w:val="clear" w:color="C0C0C0" w:fill="auto"/>
            <w:noWrap/>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项目组主要成员</w:t>
            </w:r>
          </w:p>
        </w:tc>
        <w:tc>
          <w:tcPr>
            <w:tcW w:w="980" w:type="dxa"/>
            <w:vMerge w:val="restart"/>
            <w:shd w:val="clear" w:color="C0C0C0" w:fill="auto"/>
            <w:noWrap/>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项目</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编号</w:t>
            </w:r>
          </w:p>
        </w:tc>
        <w:tc>
          <w:tcPr>
            <w:tcW w:w="780" w:type="dxa"/>
            <w:vMerge w:val="restart"/>
            <w:shd w:val="clear" w:color="C0C0C0" w:fill="auto"/>
            <w:noWrap/>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审核结果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450" w:hRule="atLeast"/>
          <w:tblHeader/>
          <w:jc w:val="center"/>
        </w:trPr>
        <w:tc>
          <w:tcPr>
            <w:tcW w:w="536" w:type="dxa"/>
            <w:vMerge w:val="continue"/>
            <w:shd w:val="solid" w:color="FFFFFF" w:fill="auto"/>
            <w:noWrap/>
            <w:vAlign w:val="center"/>
          </w:tcPr>
          <w:p>
            <w:pPr>
              <w:jc w:val="center"/>
              <w:rPr>
                <w:rFonts w:hint="eastAsia" w:ascii="黑体" w:hAnsi="黑体" w:eastAsia="黑体" w:cs="黑体"/>
                <w:b w:val="0"/>
                <w:bCs w:val="0"/>
                <w:sz w:val="22"/>
                <w:szCs w:val="22"/>
              </w:rPr>
            </w:pPr>
          </w:p>
        </w:tc>
        <w:tc>
          <w:tcPr>
            <w:tcW w:w="2520" w:type="dxa"/>
            <w:vMerge w:val="continue"/>
            <w:shd w:val="solid" w:color="FFFFFF" w:fill="auto"/>
            <w:noWrap/>
            <w:vAlign w:val="center"/>
          </w:tcPr>
          <w:p>
            <w:pPr>
              <w:jc w:val="center"/>
              <w:rPr>
                <w:rFonts w:hint="eastAsia" w:ascii="黑体" w:hAnsi="黑体" w:eastAsia="黑体" w:cs="黑体"/>
                <w:b w:val="0"/>
                <w:bCs w:val="0"/>
                <w:sz w:val="22"/>
                <w:szCs w:val="22"/>
              </w:rPr>
            </w:pPr>
          </w:p>
        </w:tc>
        <w:tc>
          <w:tcPr>
            <w:tcW w:w="1490" w:type="dxa"/>
            <w:vMerge w:val="continue"/>
            <w:shd w:val="solid" w:color="FFFFFF" w:fill="auto"/>
            <w:noWrap/>
            <w:vAlign w:val="center"/>
          </w:tcPr>
          <w:p>
            <w:pPr>
              <w:jc w:val="center"/>
              <w:rPr>
                <w:rFonts w:hint="eastAsia" w:ascii="黑体" w:hAnsi="黑体" w:eastAsia="黑体" w:cs="黑体"/>
                <w:b w:val="0"/>
                <w:bCs w:val="0"/>
                <w:sz w:val="22"/>
                <w:szCs w:val="22"/>
              </w:rPr>
            </w:pPr>
          </w:p>
        </w:tc>
        <w:tc>
          <w:tcPr>
            <w:tcW w:w="833" w:type="dxa"/>
            <w:shd w:val="solid" w:color="FFFFFF" w:fill="auto"/>
            <w:noWrap/>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1</w:t>
            </w:r>
          </w:p>
        </w:tc>
        <w:tc>
          <w:tcPr>
            <w:tcW w:w="833" w:type="dxa"/>
            <w:shd w:val="solid" w:color="FFFFFF" w:fill="auto"/>
            <w:noWrap/>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2</w:t>
            </w:r>
          </w:p>
        </w:tc>
        <w:tc>
          <w:tcPr>
            <w:tcW w:w="834" w:type="dxa"/>
            <w:shd w:val="solid" w:color="FFFFFF" w:fill="auto"/>
            <w:noWrap/>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3</w:t>
            </w:r>
          </w:p>
        </w:tc>
        <w:tc>
          <w:tcPr>
            <w:tcW w:w="980" w:type="dxa"/>
            <w:vMerge w:val="continue"/>
            <w:shd w:val="solid" w:color="FFFFFF" w:fill="auto"/>
            <w:noWrap/>
            <w:vAlign w:val="center"/>
          </w:tcPr>
          <w:p>
            <w:pPr>
              <w:jc w:val="center"/>
              <w:rPr>
                <w:rFonts w:hint="eastAsia" w:ascii="新宋体" w:hAnsi="新宋体" w:eastAsia="新宋体" w:cs="新宋体"/>
                <w:sz w:val="22"/>
                <w:szCs w:val="22"/>
              </w:rPr>
            </w:pPr>
          </w:p>
        </w:tc>
        <w:tc>
          <w:tcPr>
            <w:tcW w:w="780" w:type="dxa"/>
            <w:vMerge w:val="continue"/>
            <w:shd w:val="solid" w:color="FFFFFF" w:fill="auto"/>
            <w:noWrap/>
            <w:vAlign w:val="center"/>
          </w:tcPr>
          <w:p>
            <w:pPr>
              <w:jc w:val="center"/>
              <w:rPr>
                <w:rFonts w:hint="eastAsia" w:ascii="新宋体" w:hAnsi="新宋体" w:eastAsia="新宋体" w:cs="新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1</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标准化培训对养老护理员服务技能提升的研究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佛山市中医院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王海侨</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徐兰</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刘绍辉</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2018AB001171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2</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腹腔镜辅助肛门成形术对先天性肛门闭锁患儿肛门括约肌保护作用的研究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佛山市妇幼保健院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唐华建</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郑锦涛</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刘卫东</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2017AB002871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3</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抗氨甲酰化蛋白抗体检测在老年类风湿关节炎诊断中的应用研究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戴伟良</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朱嫦琳</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李炜煊</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2018AB003021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4</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曲美他嗪预防维持性血液透析患者心肌顿抑的临床研究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申伟</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肖观清</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孔耀中</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2018AB003331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5</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机体免疫细胞水平在射频消融治疗晚期肺癌中的临床意义探究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陈迪耀</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王健鹏</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叶俊</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2018AB002881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i w:val="0"/>
                <w:color w:val="auto"/>
                <w:kern w:val="2"/>
                <w:sz w:val="24"/>
                <w:szCs w:val="24"/>
                <w:u w:val="none"/>
                <w:lang w:val="en-US" w:eastAsia="zh-CN" w:bidi="ar-SA"/>
              </w:rPr>
            </w:pPr>
            <w:r>
              <w:rPr>
                <w:rFonts w:hint="eastAsia" w:ascii="仿宋_GB2312" w:hAnsi="仿宋_GB2312" w:eastAsia="仿宋_GB2312" w:cs="仿宋_GB2312"/>
                <w:b w:val="0"/>
                <w:bCs w:val="0"/>
                <w:i w:val="0"/>
                <w:color w:val="auto"/>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6</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尿液肝素结合蛋白检测在儿童尿路感染中的诊断价值研究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梁指荣</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李炜煊</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朱嫦琳</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2018AB003031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7</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高通量基因测序在感染性发热伴血小板减少性疾病病原诊断应用研究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严海明</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申淑怡</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梁敏锋</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2018AB003181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2"/>
                <w:sz w:val="24"/>
                <w:szCs w:val="24"/>
                <w:u w:val="none"/>
                <w:lang w:val="en-US" w:eastAsia="zh-CN" w:bidi="ar-SA"/>
              </w:rPr>
            </w:pPr>
            <w:r>
              <w:rPr>
                <w:rFonts w:hint="eastAsia" w:ascii="仿宋_GB2312" w:hAnsi="仿宋_GB2312" w:eastAsia="仿宋_GB2312" w:cs="仿宋_GB2312"/>
                <w:b w:val="0"/>
                <w:bCs w:val="0"/>
                <w:i w:val="0"/>
                <w:iCs w:val="0"/>
                <w:color w:val="000000"/>
                <w:kern w:val="0"/>
                <w:sz w:val="24"/>
                <w:szCs w:val="24"/>
                <w:u w:val="none"/>
                <w:lang w:val="en-US" w:eastAsia="zh-CN" w:bidi="ar"/>
              </w:rPr>
              <w:t>8</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Apelin/APJ系统在糖尿病神经病理性疼痛中的作用及机制研究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谭嘉琦</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何万友</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黄淑萱</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2018AB003231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经皮左心耳封堵术(LAAC)对房颤栓塞事件的干预性研究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谭海斌</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温旭涛</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杨希立</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2018AB003431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基于医保支付方式改革的管理智能系统的研发与应用</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林铭</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段光荣</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滕安寅</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2018AB003521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DSCT分析泌尿系结石成分的临床研究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徐文峰</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潘爱珍</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吴振权</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2018AB003131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auto"/>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减剂量ATG和CTX在治疗亲缘HLA半相合造血干细胞移植</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陈焯文</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徐小丽</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方艳红</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2018AB002831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儿童短音ABR，CE-chirpABR，click声ABR，CE-chirp ASSR，传统ASSR与行为听阈的关联性研究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周晓娓</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虞幼军</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赵远新</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2018AB003271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九型人格视域下个性化护理对中晚期宫颈癌术后放疗患者疾病不确定感的干预研究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邹舒倩</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何少丽</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黄荣</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2018AB003381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基于结构方程模型的佛山市妇女参加宫颈癌筛查影响因素分析</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马聪</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尚慧玲</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林铁成</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2018AB002971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auto"/>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川芎嗪预处理对异氟烷导致的神经元内钙离子稳态失调的影响</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佛山市禅城区中心医院有限公司</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谢颖超</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柳垂亮</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李志鹏</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2018AB000921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抗HBV-DC诱导疗法治疗慢性HBV感染的扩大临床研究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佛山市禅城区中心医院有限公司</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吴邦富</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蔡月英</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梁自平</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2017AB002511</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color w:val="000000"/>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Narcotrend监测下右美托咪定对丙泊酚抑制纤维结肠镜检查术内脏性疼痛EC50的影响</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佛山市南海区人民医院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黄伟华</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黄结玲</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邵泳尧</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2018AB001992</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19</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经脐内两切口法腹腔镜下输卵管切除术在输卵管妊娠中的应用研究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佛山市南海区人民医院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黄懿</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王帅</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黄浩</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2018AB002592</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20</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应用Taqman探针荧光定量PCR法检测人HLA-B*5801等位基因检测试剂的研制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佛山市南海区人民医院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赵学峰</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罗丽贞</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袁晓文</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2018AB002442</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21</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钬激光联合腹腔镜膀胱部分切除术治疗膀胱憩室癌的临床应用</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广东省中西医结合医院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关刚强</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高见枝</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陈顺娟</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2018AB000162</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22</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基于VR技术的数控骨科定位手术仪的研制与应用研究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佛山市南海区公共卫生医院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郭永继</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鲁鹏</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汤智群</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2018AB001562</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23</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肝静脉压力梯度在门静脉高压患者中的临床应用</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南方医科大学顺德医院（佛山市顺德区第一人民医院）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陈坚平</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王卫东</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傅美丽</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2018AB001803</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24</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超声引导下经肱二头肌间隙穿刺置入PICC导管对预防导管移位的研究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南方医科大学顺德医院（佛山市顺德区第一人民医院）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陈雪梅</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郭敏</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钟晓霞</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2018AB002193</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25</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功能性电刺激联合下肢康复机器人治疗早期脑卒中足下垂的疗效观察</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南方医科大学顺德医院（佛山市顺德区第一人民医院）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蔡奇芳</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梁伟财</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罗兴文</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2018AB000653</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26</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仿生物电治疗剖宫产子宫切口愈合不良的临床疗效研究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南方医科大学顺德医院（佛山市顺德区第一人民医院）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何星云</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梁建好</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罗健敏</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2018AB002093</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27</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护士批判性思维能力与其护理质量关系研究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南方医科大学顺德医院（佛山市顺德区第一人民医院）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欧阳合意</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谢清云</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卢琳欣</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2018AB000483</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28</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多模态3T磁共振成像技术在甲状腺结节良恶性鉴别诊断中的应用研究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南方医科大学顺德医院（佛山市顺德区第一人民医院）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杨少民</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吴绮霞</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黎冠峰</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2018AB000523</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29</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远程实时心电监测下北欧式步行对慢性心力衰竭患者心脏康复的影响</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南方医科大学顺德医院（佛山市顺德区第一人民医院）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卢剑华</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麦少君</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黄宝如</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2018AB002083</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30</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心脏彩超在静动脉模式体外膜肺氧合撤机中的指导价值</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南方医科大学顺德医院（佛山市顺德区第一人民医院）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左六二</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周柱江</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刘长智</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2018AB001643</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31</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中药破壁技术用于白豆蔻挥发油成分的有效性和安全性研究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南方医科大学顺德医院（佛山市顺德区第一人民医院）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李国斌</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周颖江</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叶嘉凌</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1920001001116</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32</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慢乙肝患者抗病毒治疗前后血清中SIX1/EYA1蛋白的变化及临床意义</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南方医科大学顺德医院（佛山市顺德区第一人民医院）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丁建强</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郑翀</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吕国涛</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1920001000366</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33</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不同吸呼比在小儿腹腔镜手术中的应用对术后肺功能的影响</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广东医科大学顺德妇女儿童医院（佛山市顺德区妇幼保健院）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祁贵德</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姜蓉</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林祥毅</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2017AB003443</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34</w:t>
            </w:r>
          </w:p>
        </w:tc>
        <w:tc>
          <w:tcPr>
            <w:tcW w:w="252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前哨淋巴结检测结果指导早期宫颈鳞癌患者行广泛性宫颈切除术的临床研究</w:t>
            </w:r>
          </w:p>
        </w:tc>
        <w:tc>
          <w:tcPr>
            <w:tcW w:w="149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广东医科大学顺德妇女儿童医院（佛山市顺德区妇幼保健院）</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龙琼华</w:t>
            </w:r>
          </w:p>
        </w:tc>
        <w:tc>
          <w:tcPr>
            <w:tcW w:w="833"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胡媛华</w:t>
            </w:r>
          </w:p>
        </w:tc>
        <w:tc>
          <w:tcPr>
            <w:tcW w:w="834"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薛夏</w:t>
            </w:r>
          </w:p>
        </w:tc>
        <w:tc>
          <w:tcPr>
            <w:tcW w:w="9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2017AB003463</w:t>
            </w:r>
          </w:p>
        </w:tc>
        <w:tc>
          <w:tcPr>
            <w:tcW w:w="780" w:type="dxa"/>
            <w:tcBorders>
              <w:top w:val="single" w:color="000000" w:sz="6" w:space="0"/>
              <w:left w:val="single" w:color="000000" w:sz="6" w:space="0"/>
              <w:bottom w:val="single" w:color="000000" w:sz="6" w:space="0"/>
              <w:right w:val="single" w:color="000000" w:sz="6" w:space="0"/>
            </w:tcBorders>
            <w:shd w:val="solid" w:color="FFFFFF" w:fill="auto"/>
            <w:noWrap w:val="0"/>
            <w:vAlign w:val="center"/>
          </w:tcPr>
          <w:p>
            <w:pPr>
              <w:keepNext w:val="0"/>
              <w:keepLines w:val="0"/>
              <w:widowControl/>
              <w:suppressLineNumbers w:val="0"/>
              <w:jc w:val="center"/>
              <w:textAlignment w:val="bottom"/>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35</w:t>
            </w:r>
          </w:p>
        </w:tc>
        <w:tc>
          <w:tcPr>
            <w:tcW w:w="2520" w:type="dxa"/>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阿司匹林联合低分子肝素钙治疗进展性非心源性缺血性脑卒中的疗效观察</w:t>
            </w:r>
          </w:p>
        </w:tc>
        <w:tc>
          <w:tcPr>
            <w:tcW w:w="1490" w:type="dxa"/>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佛山市顺德区北滘医院</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袁定新</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骆晓敏</w:t>
            </w:r>
          </w:p>
        </w:tc>
        <w:tc>
          <w:tcPr>
            <w:tcW w:w="834" w:type="dxa"/>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欧小青</w:t>
            </w:r>
          </w:p>
        </w:tc>
        <w:tc>
          <w:tcPr>
            <w:tcW w:w="980" w:type="dxa"/>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2018AB003313</w:t>
            </w:r>
          </w:p>
        </w:tc>
        <w:tc>
          <w:tcPr>
            <w:tcW w:w="780" w:type="dxa"/>
            <w:vAlign w:val="center"/>
          </w:tcPr>
          <w:p>
            <w:pPr>
              <w:keepNext w:val="0"/>
              <w:keepLines w:val="0"/>
              <w:widowControl/>
              <w:suppressLineNumbers w:val="0"/>
              <w:jc w:val="center"/>
              <w:textAlignment w:val="bottom"/>
              <w:rPr>
                <w:rFonts w:hint="eastAsia" w:ascii="仿宋_GB2312" w:hAnsi="仿宋_GB2312" w:eastAsia="仿宋_GB2312" w:cs="仿宋_GB2312"/>
                <w:b w:val="0"/>
                <w:bCs w:val="0"/>
                <w:i w:val="0"/>
                <w:color w:val="000000"/>
                <w:kern w:val="2"/>
                <w:sz w:val="24"/>
                <w:szCs w:val="24"/>
                <w:u w:val="none"/>
                <w:lang w:val="en-US" w:eastAsia="zh-CN" w:bidi="ar-SA"/>
              </w:rPr>
            </w:pPr>
            <w:r>
              <w:rPr>
                <w:rFonts w:hint="eastAsia" w:ascii="仿宋_GB2312" w:hAnsi="仿宋_GB2312" w:eastAsia="仿宋_GB2312" w:cs="仿宋_GB2312"/>
                <w:b w:val="0"/>
                <w:bCs w:val="0"/>
                <w:i w:val="0"/>
                <w:color w:val="000000"/>
                <w:kern w:val="2"/>
                <w:sz w:val="24"/>
                <w:szCs w:val="24"/>
                <w:u w:val="none"/>
                <w:lang w:val="en-US" w:eastAsia="zh-CN" w:bidi="ar-SA"/>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36</w:t>
            </w:r>
          </w:p>
        </w:tc>
        <w:tc>
          <w:tcPr>
            <w:tcW w:w="2520" w:type="dxa"/>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苓桂术甘汤治疗糖尿病性心肌病的机制研究</w:t>
            </w:r>
          </w:p>
        </w:tc>
        <w:tc>
          <w:tcPr>
            <w:tcW w:w="1490" w:type="dxa"/>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佛山市顺德区北滘医院</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张辉</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吴贺勇</w:t>
            </w:r>
          </w:p>
        </w:tc>
        <w:tc>
          <w:tcPr>
            <w:tcW w:w="834" w:type="dxa"/>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邓丽丽</w:t>
            </w:r>
          </w:p>
        </w:tc>
        <w:tc>
          <w:tcPr>
            <w:tcW w:w="980" w:type="dxa"/>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2018AB002643</w:t>
            </w:r>
          </w:p>
        </w:tc>
        <w:tc>
          <w:tcPr>
            <w:tcW w:w="780" w:type="dxa"/>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37</w:t>
            </w:r>
          </w:p>
        </w:tc>
        <w:tc>
          <w:tcPr>
            <w:tcW w:w="2520" w:type="dxa"/>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渭良伤科油防治新冠肺炎防护用具所致面部压力性损伤的效果观察</w:t>
            </w:r>
          </w:p>
        </w:tc>
        <w:tc>
          <w:tcPr>
            <w:tcW w:w="1490" w:type="dxa"/>
            <w:vAlign w:val="center"/>
          </w:tcPr>
          <w:p>
            <w:pPr>
              <w:keepNext w:val="0"/>
              <w:keepLines w:val="0"/>
              <w:widowControl/>
              <w:suppressLineNumbers w:val="0"/>
              <w:jc w:val="both"/>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佛山市中医院三水医院</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彭丽贞</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梁森</w:t>
            </w:r>
          </w:p>
        </w:tc>
        <w:tc>
          <w:tcPr>
            <w:tcW w:w="834" w:type="dxa"/>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陆芷茵</w:t>
            </w:r>
          </w:p>
        </w:tc>
        <w:tc>
          <w:tcPr>
            <w:tcW w:w="980" w:type="dxa"/>
            <w:vAlign w:val="center"/>
          </w:tcPr>
          <w:p>
            <w:pPr>
              <w:keepNext w:val="0"/>
              <w:keepLines w:val="0"/>
              <w:widowControl/>
              <w:suppressLineNumbers w:val="0"/>
              <w:jc w:val="center"/>
              <w:textAlignment w:val="bottom"/>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2020001004673</w:t>
            </w:r>
          </w:p>
        </w:tc>
        <w:tc>
          <w:tcPr>
            <w:tcW w:w="780" w:type="dxa"/>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795" w:hRule="atLeast"/>
          <w:jc w:val="center"/>
        </w:trPr>
        <w:tc>
          <w:tcPr>
            <w:tcW w:w="53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38</w:t>
            </w:r>
          </w:p>
        </w:tc>
        <w:tc>
          <w:tcPr>
            <w:tcW w:w="2520" w:type="dxa"/>
            <w:vAlign w:val="center"/>
          </w:tcPr>
          <w:p>
            <w:pPr>
              <w:keepNext w:val="0"/>
              <w:keepLines w:val="0"/>
              <w:widowControl/>
              <w:suppressLineNumbers w:val="0"/>
              <w:jc w:val="both"/>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基于参量阵扬声器的语音提示交通系统研究</w:t>
            </w:r>
          </w:p>
        </w:tc>
        <w:tc>
          <w:tcPr>
            <w:tcW w:w="1490" w:type="dxa"/>
            <w:vAlign w:val="center"/>
          </w:tcPr>
          <w:p>
            <w:pPr>
              <w:keepNext w:val="0"/>
              <w:keepLines w:val="0"/>
              <w:widowControl/>
              <w:suppressLineNumbers w:val="0"/>
              <w:jc w:val="both"/>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广东轻工职业技术学院</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周永明</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谢俊国</w:t>
            </w:r>
          </w:p>
        </w:tc>
        <w:tc>
          <w:tcPr>
            <w:tcW w:w="834" w:type="dxa"/>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杨军</w:t>
            </w:r>
          </w:p>
        </w:tc>
        <w:tc>
          <w:tcPr>
            <w:tcW w:w="980" w:type="dxa"/>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2018AB003922</w:t>
            </w:r>
          </w:p>
        </w:tc>
        <w:tc>
          <w:tcPr>
            <w:tcW w:w="780" w:type="dxa"/>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39</w:t>
            </w:r>
          </w:p>
        </w:tc>
        <w:tc>
          <w:tcPr>
            <w:tcW w:w="2520" w:type="dxa"/>
            <w:vAlign w:val="center"/>
          </w:tcPr>
          <w:p>
            <w:pPr>
              <w:keepNext w:val="0"/>
              <w:keepLines w:val="0"/>
              <w:widowControl/>
              <w:suppressLineNumbers w:val="0"/>
              <w:jc w:val="both"/>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园林绿化废弃物再循环利用技术研究</w:t>
            </w:r>
          </w:p>
        </w:tc>
        <w:tc>
          <w:tcPr>
            <w:tcW w:w="1490" w:type="dxa"/>
            <w:vAlign w:val="center"/>
          </w:tcPr>
          <w:p>
            <w:pPr>
              <w:keepNext w:val="0"/>
              <w:keepLines w:val="0"/>
              <w:widowControl/>
              <w:suppressLineNumbers w:val="0"/>
              <w:jc w:val="both"/>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广东碧然美景观艺术有限公司</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谭树荣</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聂呈荣</w:t>
            </w:r>
          </w:p>
        </w:tc>
        <w:tc>
          <w:tcPr>
            <w:tcW w:w="834"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陆耀东</w:t>
            </w:r>
          </w:p>
        </w:tc>
        <w:tc>
          <w:tcPr>
            <w:tcW w:w="98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222222"/>
                <w:kern w:val="2"/>
                <w:sz w:val="24"/>
                <w:szCs w:val="24"/>
                <w:u w:val="none"/>
                <w:lang w:val="en-US" w:eastAsia="zh-CN" w:bidi="ar-SA"/>
              </w:rPr>
            </w:pPr>
            <w:r>
              <w:rPr>
                <w:rFonts w:hint="eastAsia" w:ascii="仿宋_GB2312" w:hAnsi="仿宋_GB2312" w:eastAsia="仿宋_GB2312" w:cs="仿宋_GB2312"/>
                <w:sz w:val="24"/>
                <w:szCs w:val="24"/>
                <w:lang w:val="en-US" w:eastAsia="zh-CN"/>
              </w:rPr>
              <w:t>2018AB003732</w:t>
            </w:r>
          </w:p>
        </w:tc>
        <w:tc>
          <w:tcPr>
            <w:tcW w:w="780"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40</w:t>
            </w:r>
          </w:p>
        </w:tc>
        <w:tc>
          <w:tcPr>
            <w:tcW w:w="2520" w:type="dxa"/>
            <w:vAlign w:val="center"/>
          </w:tcPr>
          <w:p>
            <w:pPr>
              <w:keepNext w:val="0"/>
              <w:keepLines w:val="0"/>
              <w:widowControl/>
              <w:suppressLineNumbers w:val="0"/>
              <w:jc w:val="both"/>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EM菌在城市园林绿化养护中的技术研究</w:t>
            </w:r>
          </w:p>
        </w:tc>
        <w:tc>
          <w:tcPr>
            <w:tcW w:w="1490" w:type="dxa"/>
            <w:vAlign w:val="center"/>
          </w:tcPr>
          <w:p>
            <w:pPr>
              <w:keepNext w:val="0"/>
              <w:keepLines w:val="0"/>
              <w:widowControl/>
              <w:suppressLineNumbers w:val="0"/>
              <w:jc w:val="both"/>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广东碧然美景观艺术有限公司</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陆耀东</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许家智</w:t>
            </w:r>
          </w:p>
        </w:tc>
        <w:tc>
          <w:tcPr>
            <w:tcW w:w="834"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黎勇华</w:t>
            </w:r>
          </w:p>
        </w:tc>
        <w:tc>
          <w:tcPr>
            <w:tcW w:w="98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2018AB003742</w:t>
            </w:r>
          </w:p>
        </w:tc>
        <w:tc>
          <w:tcPr>
            <w:tcW w:w="780"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41</w:t>
            </w:r>
          </w:p>
        </w:tc>
        <w:tc>
          <w:tcPr>
            <w:tcW w:w="2520" w:type="dxa"/>
            <w:vAlign w:val="center"/>
          </w:tcPr>
          <w:p>
            <w:pPr>
              <w:keepNext w:val="0"/>
              <w:keepLines w:val="0"/>
              <w:widowControl/>
              <w:suppressLineNumbers w:val="0"/>
              <w:jc w:val="both"/>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水蜈蚣、香附子等莎草科草坪杂草防控技术</w:t>
            </w:r>
          </w:p>
        </w:tc>
        <w:tc>
          <w:tcPr>
            <w:tcW w:w="1490" w:type="dxa"/>
            <w:vAlign w:val="center"/>
          </w:tcPr>
          <w:p>
            <w:pPr>
              <w:keepNext w:val="0"/>
              <w:keepLines w:val="0"/>
              <w:widowControl/>
              <w:suppressLineNumbers w:val="0"/>
              <w:jc w:val="both"/>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广东碧然美景观艺术有限公司</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姜景彬</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冯展咏</w:t>
            </w:r>
          </w:p>
        </w:tc>
        <w:tc>
          <w:tcPr>
            <w:tcW w:w="834"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常欣蕾</w:t>
            </w:r>
          </w:p>
        </w:tc>
        <w:tc>
          <w:tcPr>
            <w:tcW w:w="98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2018AB003752</w:t>
            </w:r>
          </w:p>
        </w:tc>
        <w:tc>
          <w:tcPr>
            <w:tcW w:w="780"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项目终止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40" w:type="dxa"/>
            <w:bottom w:w="0" w:type="dxa"/>
            <w:right w:w="40" w:type="dxa"/>
          </w:tblCellMar>
        </w:tblPrEx>
        <w:trPr>
          <w:cantSplit/>
          <w:trHeight w:val="23" w:hRule="atLeast"/>
          <w:jc w:val="center"/>
        </w:trPr>
        <w:tc>
          <w:tcPr>
            <w:tcW w:w="536"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4"/>
                <w:szCs w:val="24"/>
                <w:u w:val="none"/>
                <w:lang w:val="en-US" w:eastAsia="zh-CN" w:bidi="ar"/>
              </w:rPr>
            </w:pPr>
            <w:r>
              <w:rPr>
                <w:rFonts w:hint="eastAsia" w:ascii="仿宋_GB2312" w:hAnsi="仿宋_GB2312" w:eastAsia="仿宋_GB2312" w:cs="仿宋_GB2312"/>
                <w:b w:val="0"/>
                <w:bCs w:val="0"/>
                <w:i w:val="0"/>
                <w:iCs w:val="0"/>
                <w:color w:val="000000"/>
                <w:kern w:val="0"/>
                <w:sz w:val="24"/>
                <w:szCs w:val="24"/>
                <w:u w:val="none"/>
                <w:lang w:val="en-US" w:eastAsia="zh-CN" w:bidi="ar"/>
              </w:rPr>
              <w:t>42</w:t>
            </w:r>
          </w:p>
        </w:tc>
        <w:tc>
          <w:tcPr>
            <w:tcW w:w="2520" w:type="dxa"/>
            <w:vAlign w:val="center"/>
          </w:tcPr>
          <w:p>
            <w:pPr>
              <w:keepNext w:val="0"/>
              <w:keepLines w:val="0"/>
              <w:widowControl/>
              <w:suppressLineNumbers w:val="0"/>
              <w:jc w:val="both"/>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植物生长调节剂在草坪修剪上的应用技术</w:t>
            </w:r>
          </w:p>
        </w:tc>
        <w:tc>
          <w:tcPr>
            <w:tcW w:w="1490" w:type="dxa"/>
            <w:vAlign w:val="center"/>
          </w:tcPr>
          <w:p>
            <w:pPr>
              <w:keepNext w:val="0"/>
              <w:keepLines w:val="0"/>
              <w:widowControl/>
              <w:suppressLineNumbers w:val="0"/>
              <w:jc w:val="both"/>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广东碧然美景观艺术有限公司</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梁泽樟</w:t>
            </w:r>
          </w:p>
        </w:tc>
        <w:tc>
          <w:tcPr>
            <w:tcW w:w="833"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白文龙</w:t>
            </w:r>
          </w:p>
        </w:tc>
        <w:tc>
          <w:tcPr>
            <w:tcW w:w="834"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钟健豪</w:t>
            </w:r>
          </w:p>
        </w:tc>
        <w:tc>
          <w:tcPr>
            <w:tcW w:w="98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2018AB003762</w:t>
            </w:r>
          </w:p>
        </w:tc>
        <w:tc>
          <w:tcPr>
            <w:tcW w:w="780"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项目终止</w:t>
            </w:r>
          </w:p>
        </w:tc>
      </w:tr>
    </w:tbl>
    <w:p>
      <w:pPr>
        <w:rPr>
          <w:rFonts w:hint="default"/>
          <w:lang w:val="en-US" w:eastAsia="zh-CN"/>
        </w:rPr>
      </w:pPr>
    </w:p>
    <w:sectPr>
      <w:footerReference r:id="rId3" w:type="default"/>
      <w:footerReference r:id="rId4" w:type="even"/>
      <w:pgSz w:w="11906" w:h="16838"/>
      <w:pgMar w:top="1701" w:right="1474" w:bottom="147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-161925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2.75pt;height:144pt;width:144pt;mso-position-horizontal:outside;mso-position-horizontal-relative:margin;mso-wrap-style:none;z-index:251659264;mso-width-relative:page;mso-height-relative:page;" filled="f" stroked="f" coordsize="21600,21600" o:gfxdata="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j0BQ/9oAAAAMAQAA&#10;DwAAAAAAAAABACAAAAAiAAAAZHJzL2Rvd25yZXYueG1sUEsBAhQAFAAAAAgAh07iQOSzpqPCAgAA&#10;1gUAAA4AAAAAAAAAAQAgAAAAKQEAAGRycy9lMm9Eb2MueG1sUEsFBgAAAAAGAAYAWQEAAF0GAAAA&#10;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4445</wp:posOffset>
              </wp:positionH>
              <wp:positionV relativeFrom="paragraph">
                <wp:posOffset>-158750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2</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35pt;margin-top:-12.5pt;height:144pt;width:144pt;mso-position-horizontal-relative:margin;mso-wrap-style:none;z-index:251660288;mso-width-relative:page;mso-height-relative:page;" filled="f" stroked="f" coordsize="21600,21600" o:gfxdata="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LX86nfVAAAACQEAAA8AAAAA&#10;AAAAAQAgAAAAIgAAAGRycy9kb3ducmV2LnhtbFBLAQIUABQAAAAIAIdO4kD+58ZPwgIAANYFAAAO&#10;AAAAAAAAAAEAIAAAACQBAABkcnMvZTJvRG9jLnhtbFBLBQYAAAAABgAGAFkBAABYBg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2</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038E0"/>
    <w:rsid w:val="01B11305"/>
    <w:rsid w:val="060876E7"/>
    <w:rsid w:val="0870173A"/>
    <w:rsid w:val="22D6477E"/>
    <w:rsid w:val="3BDA78B9"/>
    <w:rsid w:val="3E32564B"/>
    <w:rsid w:val="4EDA4E08"/>
    <w:rsid w:val="5E6038E0"/>
    <w:rsid w:val="6427643F"/>
    <w:rsid w:val="76B21B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宋体"/>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New"/>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市科学技术局（知识产权局）</Company>
  <Pages>1</Pages>
  <Words>0</Words>
  <Characters>0</Characters>
  <Lines>0</Lines>
  <Paragraphs>0</Paragraphs>
  <TotalTime>17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2022-05-19T09:08:00Z</dcterms:created>
  <dc:creator>陈觉敏</dc:creator>
  <cp:lastModifiedBy>冯晓宜</cp:lastModifiedBy>
  <dcterms:modified xsi:type="dcterms:W3CDTF">2022-07-01T07:06:34Z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